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right="2828"/>
      </w:pPr>
      <w:r>
        <w:rPr>
          <w:w w:val="105"/>
        </w:rPr>
        <w:t>Form No. 36</w:t>
      </w:r>
    </w:p>
    <w:p>
      <w:pPr>
        <w:pStyle w:val="BodyText"/>
        <w:spacing w:before="116"/>
        <w:ind w:left="2920" w:right="2928"/>
        <w:jc w:val="center"/>
      </w:pPr>
      <w:r>
        <w:rPr>
          <w:w w:val="105"/>
        </w:rPr>
        <w:t>[See rule 47(1)]</w:t>
      </w:r>
    </w:p>
    <w:p>
      <w:pPr>
        <w:pStyle w:val="Heading1"/>
        <w:spacing w:before="125"/>
        <w:ind w:right="2928"/>
      </w:pPr>
      <w:r>
        <w:rPr>
          <w:w w:val="105"/>
        </w:rPr>
        <w:t>Form of appeal to the Appellate Tribunal</w:t>
      </w:r>
    </w:p>
    <w:p>
      <w:pPr>
        <w:pStyle w:val="BodyText"/>
      </w:pPr>
      <w:r>
        <w:rPr>
          <w:w w:val="105"/>
        </w:rPr>
        <w:t>In the Income-tax Appellate Tribunal……………………….</w:t>
      </w:r>
    </w:p>
    <w:p>
      <w:pPr>
        <w:pStyle w:val="BodyText"/>
        <w:spacing w:before="123"/>
        <w:ind w:left="2921" w:right="2755"/>
        <w:jc w:val="center"/>
      </w:pPr>
      <w:r>
        <w:rPr>
          <w:w w:val="105"/>
        </w:rPr>
        <w:t>Appeal No………….of………</w:t>
      </w:r>
    </w:p>
    <w:p>
      <w:pPr>
        <w:pStyle w:val="BodyText"/>
        <w:tabs>
          <w:tab w:pos="4048" w:val="left" w:leader="none"/>
          <w:tab w:pos="5137" w:val="left" w:leader="none"/>
          <w:tab w:pos="5627" w:val="left" w:leader="none"/>
        </w:tabs>
        <w:spacing w:line="364" w:lineRule="auto" w:before="118" w:after="5"/>
        <w:ind w:left="2244" w:right="2627" w:hanging="315"/>
      </w:pPr>
      <w:r>
        <w:rPr>
          <w:w w:val="105"/>
        </w:rPr>
        <w:t>………………….....</w:t>
        <w:tab/>
        <w:t>Versus</w:t>
        <w:tab/>
        <w:t>…………………… APPELLANT</w:t>
        <w:tab/>
        <w:tab/>
        <w:tab/>
      </w:r>
      <w:r>
        <w:rPr>
          <w:spacing w:val="-1"/>
        </w:rPr>
        <w:t>RESPONDENT</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9"/>
        <w:gridCol w:w="497"/>
        <w:gridCol w:w="427"/>
        <w:gridCol w:w="1968"/>
        <w:gridCol w:w="3094"/>
        <w:gridCol w:w="2271"/>
      </w:tblGrid>
      <w:tr>
        <w:trPr>
          <w:trHeight w:val="550" w:hRule="atLeast"/>
        </w:trPr>
        <w:tc>
          <w:tcPr>
            <w:tcW w:w="1109" w:type="dxa"/>
            <w:vMerge w:val="restart"/>
            <w:textDirection w:val="btLr"/>
          </w:tcPr>
          <w:p>
            <w:pPr>
              <w:pStyle w:val="TableParagraph"/>
              <w:spacing w:before="144"/>
              <w:ind w:left="204"/>
              <w:rPr>
                <w:sz w:val="20"/>
              </w:rPr>
            </w:pPr>
            <w:r>
              <w:rPr>
                <w:w w:val="105"/>
                <w:sz w:val="20"/>
              </w:rPr>
              <w:t>Appellant’s Personal Information</w:t>
            </w:r>
          </w:p>
        </w:tc>
        <w:tc>
          <w:tcPr>
            <w:tcW w:w="2892" w:type="dxa"/>
            <w:gridSpan w:val="3"/>
          </w:tcPr>
          <w:p>
            <w:pPr>
              <w:pStyle w:val="TableParagraph"/>
              <w:spacing w:line="244" w:lineRule="auto" w:before="39"/>
              <w:ind w:left="102"/>
              <w:rPr>
                <w:i/>
                <w:sz w:val="20"/>
              </w:rPr>
            </w:pPr>
            <w:r>
              <w:rPr>
                <w:w w:val="105"/>
                <w:sz w:val="20"/>
              </w:rPr>
              <w:t>Name /designation of the Appellant </w:t>
            </w:r>
            <w:r>
              <w:rPr>
                <w:i/>
                <w:w w:val="105"/>
                <w:sz w:val="20"/>
              </w:rPr>
              <w:t>(as applicable)</w:t>
            </w:r>
          </w:p>
        </w:tc>
        <w:tc>
          <w:tcPr>
            <w:tcW w:w="5365" w:type="dxa"/>
            <w:gridSpan w:val="2"/>
          </w:tcPr>
          <w:p>
            <w:pPr>
              <w:pStyle w:val="TableParagraph"/>
              <w:rPr>
                <w:sz w:val="20"/>
              </w:rPr>
            </w:pPr>
          </w:p>
        </w:tc>
      </w:tr>
      <w:tr>
        <w:trPr>
          <w:trHeight w:val="311" w:hRule="atLeast"/>
        </w:trPr>
        <w:tc>
          <w:tcPr>
            <w:tcW w:w="1109" w:type="dxa"/>
            <w:vMerge/>
            <w:tcBorders>
              <w:top w:val="nil"/>
            </w:tcBorders>
            <w:textDirection w:val="btLr"/>
          </w:tcPr>
          <w:p>
            <w:pPr>
              <w:rPr>
                <w:sz w:val="2"/>
                <w:szCs w:val="2"/>
              </w:rPr>
            </w:pPr>
          </w:p>
        </w:tc>
        <w:tc>
          <w:tcPr>
            <w:tcW w:w="2892" w:type="dxa"/>
            <w:gridSpan w:val="3"/>
          </w:tcPr>
          <w:p>
            <w:pPr>
              <w:pStyle w:val="TableParagraph"/>
              <w:spacing w:before="35"/>
              <w:ind w:left="102"/>
              <w:rPr>
                <w:i/>
                <w:sz w:val="20"/>
              </w:rPr>
            </w:pPr>
            <w:r>
              <w:rPr>
                <w:w w:val="105"/>
                <w:sz w:val="20"/>
              </w:rPr>
              <w:t>PAN </w:t>
            </w:r>
            <w:r>
              <w:rPr>
                <w:i/>
                <w:w w:val="105"/>
                <w:sz w:val="20"/>
              </w:rPr>
              <w:t>(if available)</w:t>
            </w:r>
          </w:p>
        </w:tc>
        <w:tc>
          <w:tcPr>
            <w:tcW w:w="5365" w:type="dxa"/>
            <w:gridSpan w:val="2"/>
          </w:tcPr>
          <w:p>
            <w:pPr>
              <w:pStyle w:val="TableParagraph"/>
              <w:rPr>
                <w:sz w:val="20"/>
              </w:rPr>
            </w:pPr>
          </w:p>
        </w:tc>
      </w:tr>
      <w:tr>
        <w:trPr>
          <w:trHeight w:val="312" w:hRule="atLeast"/>
        </w:trPr>
        <w:tc>
          <w:tcPr>
            <w:tcW w:w="1109" w:type="dxa"/>
            <w:vMerge/>
            <w:tcBorders>
              <w:top w:val="nil"/>
            </w:tcBorders>
            <w:textDirection w:val="btLr"/>
          </w:tcPr>
          <w:p>
            <w:pPr>
              <w:rPr>
                <w:sz w:val="2"/>
                <w:szCs w:val="2"/>
              </w:rPr>
            </w:pPr>
          </w:p>
        </w:tc>
        <w:tc>
          <w:tcPr>
            <w:tcW w:w="2892" w:type="dxa"/>
            <w:gridSpan w:val="3"/>
          </w:tcPr>
          <w:p>
            <w:pPr>
              <w:pStyle w:val="TableParagraph"/>
              <w:spacing w:before="36"/>
              <w:ind w:left="102"/>
              <w:rPr>
                <w:i/>
                <w:sz w:val="20"/>
              </w:rPr>
            </w:pPr>
            <w:r>
              <w:rPr>
                <w:w w:val="105"/>
                <w:sz w:val="20"/>
              </w:rPr>
              <w:t>TAN </w:t>
            </w:r>
            <w:r>
              <w:rPr>
                <w:i/>
                <w:w w:val="105"/>
                <w:sz w:val="20"/>
              </w:rPr>
              <w:t>(if applicable)</w:t>
            </w:r>
          </w:p>
        </w:tc>
        <w:tc>
          <w:tcPr>
            <w:tcW w:w="5365" w:type="dxa"/>
            <w:gridSpan w:val="2"/>
          </w:tcPr>
          <w:p>
            <w:pPr>
              <w:pStyle w:val="TableParagraph"/>
              <w:rPr>
                <w:sz w:val="20"/>
              </w:rPr>
            </w:pPr>
          </w:p>
        </w:tc>
      </w:tr>
      <w:tr>
        <w:trPr>
          <w:trHeight w:val="550" w:hRule="atLeast"/>
        </w:trPr>
        <w:tc>
          <w:tcPr>
            <w:tcW w:w="1109" w:type="dxa"/>
            <w:vMerge/>
            <w:tcBorders>
              <w:top w:val="nil"/>
            </w:tcBorders>
            <w:textDirection w:val="btLr"/>
          </w:tcPr>
          <w:p>
            <w:pPr>
              <w:rPr>
                <w:sz w:val="2"/>
                <w:szCs w:val="2"/>
              </w:rPr>
            </w:pPr>
          </w:p>
        </w:tc>
        <w:tc>
          <w:tcPr>
            <w:tcW w:w="2892" w:type="dxa"/>
            <w:gridSpan w:val="3"/>
          </w:tcPr>
          <w:p>
            <w:pPr>
              <w:pStyle w:val="TableParagraph"/>
              <w:spacing w:line="247" w:lineRule="auto" w:before="37"/>
              <w:ind w:left="102"/>
              <w:rPr>
                <w:sz w:val="20"/>
              </w:rPr>
            </w:pPr>
            <w:r>
              <w:rPr>
                <w:w w:val="105"/>
                <w:sz w:val="20"/>
              </w:rPr>
              <w:t>Complete address for sending notices</w:t>
            </w:r>
          </w:p>
        </w:tc>
        <w:tc>
          <w:tcPr>
            <w:tcW w:w="5365" w:type="dxa"/>
            <w:gridSpan w:val="2"/>
          </w:tcPr>
          <w:p>
            <w:pPr>
              <w:pStyle w:val="TableParagraph"/>
              <w:rPr>
                <w:sz w:val="20"/>
              </w:rPr>
            </w:pPr>
          </w:p>
        </w:tc>
      </w:tr>
      <w:tr>
        <w:trPr>
          <w:trHeight w:val="311" w:hRule="atLeast"/>
        </w:trPr>
        <w:tc>
          <w:tcPr>
            <w:tcW w:w="1109" w:type="dxa"/>
            <w:vMerge/>
            <w:tcBorders>
              <w:top w:val="nil"/>
            </w:tcBorders>
            <w:textDirection w:val="btLr"/>
          </w:tcPr>
          <w:p>
            <w:pPr>
              <w:rPr>
                <w:sz w:val="2"/>
                <w:szCs w:val="2"/>
              </w:rPr>
            </w:pPr>
          </w:p>
        </w:tc>
        <w:tc>
          <w:tcPr>
            <w:tcW w:w="2892" w:type="dxa"/>
            <w:gridSpan w:val="3"/>
          </w:tcPr>
          <w:p>
            <w:pPr>
              <w:pStyle w:val="TableParagraph"/>
              <w:spacing w:before="36"/>
              <w:ind w:left="102"/>
              <w:rPr>
                <w:sz w:val="20"/>
              </w:rPr>
            </w:pPr>
            <w:r>
              <w:rPr>
                <w:w w:val="105"/>
                <w:sz w:val="20"/>
              </w:rPr>
              <w:t>State</w:t>
            </w:r>
          </w:p>
        </w:tc>
        <w:tc>
          <w:tcPr>
            <w:tcW w:w="5365" w:type="dxa"/>
            <w:gridSpan w:val="2"/>
          </w:tcPr>
          <w:p>
            <w:pPr>
              <w:pStyle w:val="TableParagraph"/>
              <w:rPr>
                <w:sz w:val="20"/>
              </w:rPr>
            </w:pPr>
          </w:p>
        </w:tc>
      </w:tr>
      <w:tr>
        <w:trPr>
          <w:trHeight w:val="312" w:hRule="atLeast"/>
        </w:trPr>
        <w:tc>
          <w:tcPr>
            <w:tcW w:w="1109" w:type="dxa"/>
            <w:vMerge/>
            <w:tcBorders>
              <w:top w:val="nil"/>
            </w:tcBorders>
            <w:textDirection w:val="btLr"/>
          </w:tcPr>
          <w:p>
            <w:pPr>
              <w:rPr>
                <w:sz w:val="2"/>
                <w:szCs w:val="2"/>
              </w:rPr>
            </w:pPr>
          </w:p>
        </w:tc>
        <w:tc>
          <w:tcPr>
            <w:tcW w:w="2892" w:type="dxa"/>
            <w:gridSpan w:val="3"/>
          </w:tcPr>
          <w:p>
            <w:pPr>
              <w:pStyle w:val="TableParagraph"/>
              <w:spacing w:before="36"/>
              <w:ind w:left="102"/>
              <w:rPr>
                <w:sz w:val="20"/>
              </w:rPr>
            </w:pPr>
            <w:r>
              <w:rPr>
                <w:w w:val="105"/>
                <w:sz w:val="20"/>
              </w:rPr>
              <w:t>Pin Code</w:t>
            </w:r>
          </w:p>
        </w:tc>
        <w:tc>
          <w:tcPr>
            <w:tcW w:w="5365" w:type="dxa"/>
            <w:gridSpan w:val="2"/>
          </w:tcPr>
          <w:p>
            <w:pPr>
              <w:pStyle w:val="TableParagraph"/>
              <w:rPr>
                <w:sz w:val="20"/>
              </w:rPr>
            </w:pPr>
          </w:p>
        </w:tc>
      </w:tr>
      <w:tr>
        <w:trPr>
          <w:trHeight w:val="550" w:hRule="atLeast"/>
        </w:trPr>
        <w:tc>
          <w:tcPr>
            <w:tcW w:w="1109" w:type="dxa"/>
            <w:vMerge/>
            <w:tcBorders>
              <w:top w:val="nil"/>
            </w:tcBorders>
            <w:textDirection w:val="btLr"/>
          </w:tcPr>
          <w:p>
            <w:pPr>
              <w:rPr>
                <w:sz w:val="2"/>
                <w:szCs w:val="2"/>
              </w:rPr>
            </w:pPr>
          </w:p>
        </w:tc>
        <w:tc>
          <w:tcPr>
            <w:tcW w:w="2892" w:type="dxa"/>
            <w:gridSpan w:val="3"/>
          </w:tcPr>
          <w:p>
            <w:pPr>
              <w:pStyle w:val="TableParagraph"/>
              <w:spacing w:line="247" w:lineRule="auto" w:before="37"/>
              <w:ind w:left="102"/>
              <w:rPr>
                <w:sz w:val="20"/>
              </w:rPr>
            </w:pPr>
            <w:r>
              <w:rPr>
                <w:w w:val="105"/>
                <w:sz w:val="20"/>
              </w:rPr>
              <w:t>Phone No. with STD code/ Mobile No.</w:t>
            </w:r>
          </w:p>
        </w:tc>
        <w:tc>
          <w:tcPr>
            <w:tcW w:w="5365" w:type="dxa"/>
            <w:gridSpan w:val="2"/>
          </w:tcPr>
          <w:p>
            <w:pPr>
              <w:pStyle w:val="TableParagraph"/>
              <w:rPr>
                <w:sz w:val="20"/>
              </w:rPr>
            </w:pPr>
          </w:p>
        </w:tc>
      </w:tr>
      <w:tr>
        <w:trPr>
          <w:trHeight w:val="311" w:hRule="atLeast"/>
        </w:trPr>
        <w:tc>
          <w:tcPr>
            <w:tcW w:w="1109" w:type="dxa"/>
            <w:vMerge/>
            <w:tcBorders>
              <w:top w:val="nil"/>
            </w:tcBorders>
            <w:textDirection w:val="btLr"/>
          </w:tcPr>
          <w:p>
            <w:pPr>
              <w:rPr>
                <w:sz w:val="2"/>
                <w:szCs w:val="2"/>
              </w:rPr>
            </w:pPr>
          </w:p>
        </w:tc>
        <w:tc>
          <w:tcPr>
            <w:tcW w:w="2892" w:type="dxa"/>
            <w:gridSpan w:val="3"/>
          </w:tcPr>
          <w:p>
            <w:pPr>
              <w:pStyle w:val="TableParagraph"/>
              <w:spacing w:before="38"/>
              <w:ind w:left="102"/>
              <w:rPr>
                <w:sz w:val="20"/>
              </w:rPr>
            </w:pPr>
            <w:r>
              <w:rPr>
                <w:w w:val="105"/>
                <w:sz w:val="20"/>
              </w:rPr>
              <w:t>Email Address</w:t>
            </w:r>
          </w:p>
        </w:tc>
        <w:tc>
          <w:tcPr>
            <w:tcW w:w="5365" w:type="dxa"/>
            <w:gridSpan w:val="2"/>
          </w:tcPr>
          <w:p>
            <w:pPr>
              <w:pStyle w:val="TableParagraph"/>
              <w:rPr>
                <w:sz w:val="20"/>
              </w:rPr>
            </w:pPr>
          </w:p>
        </w:tc>
      </w:tr>
      <w:tr>
        <w:trPr>
          <w:trHeight w:val="587" w:hRule="atLeast"/>
        </w:trPr>
        <w:tc>
          <w:tcPr>
            <w:tcW w:w="1109" w:type="dxa"/>
            <w:vMerge w:val="restart"/>
            <w:textDirection w:val="btLr"/>
          </w:tcPr>
          <w:p>
            <w:pPr>
              <w:pStyle w:val="TableParagraph"/>
              <w:spacing w:before="144"/>
              <w:ind w:left="327"/>
              <w:rPr>
                <w:sz w:val="20"/>
              </w:rPr>
            </w:pPr>
            <w:r>
              <w:rPr>
                <w:w w:val="105"/>
                <w:sz w:val="20"/>
              </w:rPr>
              <w:t>Respondent’s Personal Information</w:t>
            </w:r>
          </w:p>
        </w:tc>
        <w:tc>
          <w:tcPr>
            <w:tcW w:w="2892" w:type="dxa"/>
            <w:gridSpan w:val="3"/>
          </w:tcPr>
          <w:p>
            <w:pPr>
              <w:pStyle w:val="TableParagraph"/>
              <w:spacing w:line="247" w:lineRule="auto" w:before="57"/>
              <w:ind w:left="102"/>
              <w:rPr>
                <w:i/>
                <w:sz w:val="20"/>
              </w:rPr>
            </w:pPr>
            <w:r>
              <w:rPr>
                <w:w w:val="105"/>
                <w:sz w:val="20"/>
              </w:rPr>
              <w:t>Name or designation of the Respondent </w:t>
            </w:r>
            <w:r>
              <w:rPr>
                <w:i/>
                <w:w w:val="105"/>
                <w:sz w:val="20"/>
              </w:rPr>
              <w:t>(as applicable)</w:t>
            </w:r>
          </w:p>
        </w:tc>
        <w:tc>
          <w:tcPr>
            <w:tcW w:w="5365" w:type="dxa"/>
            <w:gridSpan w:val="2"/>
          </w:tcPr>
          <w:p>
            <w:pPr>
              <w:pStyle w:val="TableParagraph"/>
              <w:rPr>
                <w:sz w:val="20"/>
              </w:rPr>
            </w:pPr>
          </w:p>
        </w:tc>
      </w:tr>
      <w:tr>
        <w:trPr>
          <w:trHeight w:val="351" w:hRule="atLeast"/>
        </w:trPr>
        <w:tc>
          <w:tcPr>
            <w:tcW w:w="1109" w:type="dxa"/>
            <w:vMerge/>
            <w:tcBorders>
              <w:top w:val="nil"/>
            </w:tcBorders>
            <w:textDirection w:val="btLr"/>
          </w:tcPr>
          <w:p>
            <w:pPr>
              <w:rPr>
                <w:sz w:val="2"/>
                <w:szCs w:val="2"/>
              </w:rPr>
            </w:pPr>
          </w:p>
        </w:tc>
        <w:tc>
          <w:tcPr>
            <w:tcW w:w="2892" w:type="dxa"/>
            <w:gridSpan w:val="3"/>
          </w:tcPr>
          <w:p>
            <w:pPr>
              <w:pStyle w:val="TableParagraph"/>
              <w:spacing w:before="57"/>
              <w:ind w:left="102"/>
              <w:rPr>
                <w:i/>
                <w:sz w:val="20"/>
              </w:rPr>
            </w:pPr>
            <w:r>
              <w:rPr>
                <w:w w:val="105"/>
                <w:sz w:val="20"/>
              </w:rPr>
              <w:t>PAN </w:t>
            </w:r>
            <w:r>
              <w:rPr>
                <w:i/>
                <w:w w:val="105"/>
                <w:sz w:val="20"/>
              </w:rPr>
              <w:t>(if available)</w:t>
            </w:r>
          </w:p>
        </w:tc>
        <w:tc>
          <w:tcPr>
            <w:tcW w:w="5365" w:type="dxa"/>
            <w:gridSpan w:val="2"/>
          </w:tcPr>
          <w:p>
            <w:pPr>
              <w:pStyle w:val="TableParagraph"/>
              <w:rPr>
                <w:sz w:val="20"/>
              </w:rPr>
            </w:pPr>
          </w:p>
        </w:tc>
      </w:tr>
      <w:tr>
        <w:trPr>
          <w:trHeight w:val="348" w:hRule="atLeast"/>
        </w:trPr>
        <w:tc>
          <w:tcPr>
            <w:tcW w:w="1109" w:type="dxa"/>
            <w:vMerge/>
            <w:tcBorders>
              <w:top w:val="nil"/>
            </w:tcBorders>
            <w:textDirection w:val="btLr"/>
          </w:tcPr>
          <w:p>
            <w:pPr>
              <w:rPr>
                <w:sz w:val="2"/>
                <w:szCs w:val="2"/>
              </w:rPr>
            </w:pPr>
          </w:p>
        </w:tc>
        <w:tc>
          <w:tcPr>
            <w:tcW w:w="2892" w:type="dxa"/>
            <w:gridSpan w:val="3"/>
          </w:tcPr>
          <w:p>
            <w:pPr>
              <w:pStyle w:val="TableParagraph"/>
              <w:spacing w:before="56"/>
              <w:ind w:left="102"/>
              <w:rPr>
                <w:i/>
                <w:sz w:val="20"/>
              </w:rPr>
            </w:pPr>
            <w:r>
              <w:rPr>
                <w:w w:val="105"/>
                <w:sz w:val="20"/>
              </w:rPr>
              <w:t>TAN </w:t>
            </w:r>
            <w:r>
              <w:rPr>
                <w:i/>
                <w:w w:val="105"/>
                <w:sz w:val="20"/>
              </w:rPr>
              <w:t>(if applicable)</w:t>
            </w:r>
          </w:p>
        </w:tc>
        <w:tc>
          <w:tcPr>
            <w:tcW w:w="5365" w:type="dxa"/>
            <w:gridSpan w:val="2"/>
          </w:tcPr>
          <w:p>
            <w:pPr>
              <w:pStyle w:val="TableParagraph"/>
              <w:rPr>
                <w:sz w:val="20"/>
              </w:rPr>
            </w:pPr>
          </w:p>
        </w:tc>
      </w:tr>
      <w:tr>
        <w:trPr>
          <w:trHeight w:val="587" w:hRule="atLeast"/>
        </w:trPr>
        <w:tc>
          <w:tcPr>
            <w:tcW w:w="1109" w:type="dxa"/>
            <w:vMerge/>
            <w:tcBorders>
              <w:top w:val="nil"/>
            </w:tcBorders>
            <w:textDirection w:val="btLr"/>
          </w:tcPr>
          <w:p>
            <w:pPr>
              <w:rPr>
                <w:sz w:val="2"/>
                <w:szCs w:val="2"/>
              </w:rPr>
            </w:pPr>
          </w:p>
        </w:tc>
        <w:tc>
          <w:tcPr>
            <w:tcW w:w="2892" w:type="dxa"/>
            <w:gridSpan w:val="3"/>
          </w:tcPr>
          <w:p>
            <w:pPr>
              <w:pStyle w:val="TableParagraph"/>
              <w:spacing w:line="247" w:lineRule="auto" w:before="57"/>
              <w:ind w:left="102"/>
              <w:rPr>
                <w:sz w:val="20"/>
              </w:rPr>
            </w:pPr>
            <w:r>
              <w:rPr>
                <w:w w:val="105"/>
                <w:sz w:val="20"/>
              </w:rPr>
              <w:t>Complete address for sending notices</w:t>
            </w:r>
          </w:p>
        </w:tc>
        <w:tc>
          <w:tcPr>
            <w:tcW w:w="5365" w:type="dxa"/>
            <w:gridSpan w:val="2"/>
          </w:tcPr>
          <w:p>
            <w:pPr>
              <w:pStyle w:val="TableParagraph"/>
              <w:rPr>
                <w:sz w:val="20"/>
              </w:rPr>
            </w:pPr>
          </w:p>
        </w:tc>
      </w:tr>
      <w:tr>
        <w:trPr>
          <w:trHeight w:val="351" w:hRule="atLeast"/>
        </w:trPr>
        <w:tc>
          <w:tcPr>
            <w:tcW w:w="1109" w:type="dxa"/>
            <w:vMerge/>
            <w:tcBorders>
              <w:top w:val="nil"/>
            </w:tcBorders>
            <w:textDirection w:val="btLr"/>
          </w:tcPr>
          <w:p>
            <w:pPr>
              <w:rPr>
                <w:sz w:val="2"/>
                <w:szCs w:val="2"/>
              </w:rPr>
            </w:pPr>
          </w:p>
        </w:tc>
        <w:tc>
          <w:tcPr>
            <w:tcW w:w="2892" w:type="dxa"/>
            <w:gridSpan w:val="3"/>
          </w:tcPr>
          <w:p>
            <w:pPr>
              <w:pStyle w:val="TableParagraph"/>
              <w:spacing w:before="57"/>
              <w:ind w:left="102"/>
              <w:rPr>
                <w:sz w:val="20"/>
              </w:rPr>
            </w:pPr>
            <w:r>
              <w:rPr>
                <w:w w:val="105"/>
                <w:sz w:val="20"/>
              </w:rPr>
              <w:t>State</w:t>
            </w:r>
          </w:p>
        </w:tc>
        <w:tc>
          <w:tcPr>
            <w:tcW w:w="5365" w:type="dxa"/>
            <w:gridSpan w:val="2"/>
          </w:tcPr>
          <w:p>
            <w:pPr>
              <w:pStyle w:val="TableParagraph"/>
              <w:rPr>
                <w:sz w:val="20"/>
              </w:rPr>
            </w:pPr>
          </w:p>
        </w:tc>
      </w:tr>
      <w:tr>
        <w:trPr>
          <w:trHeight w:val="351" w:hRule="atLeast"/>
        </w:trPr>
        <w:tc>
          <w:tcPr>
            <w:tcW w:w="1109" w:type="dxa"/>
            <w:vMerge/>
            <w:tcBorders>
              <w:top w:val="nil"/>
            </w:tcBorders>
            <w:textDirection w:val="btLr"/>
          </w:tcPr>
          <w:p>
            <w:pPr>
              <w:rPr>
                <w:sz w:val="2"/>
                <w:szCs w:val="2"/>
              </w:rPr>
            </w:pPr>
          </w:p>
        </w:tc>
        <w:tc>
          <w:tcPr>
            <w:tcW w:w="2892" w:type="dxa"/>
            <w:gridSpan w:val="3"/>
          </w:tcPr>
          <w:p>
            <w:pPr>
              <w:pStyle w:val="TableParagraph"/>
              <w:spacing w:before="56"/>
              <w:ind w:left="102"/>
              <w:rPr>
                <w:sz w:val="20"/>
              </w:rPr>
            </w:pPr>
            <w:r>
              <w:rPr>
                <w:w w:val="105"/>
                <w:sz w:val="20"/>
              </w:rPr>
              <w:t>Pin Code</w:t>
            </w:r>
          </w:p>
        </w:tc>
        <w:tc>
          <w:tcPr>
            <w:tcW w:w="5365" w:type="dxa"/>
            <w:gridSpan w:val="2"/>
          </w:tcPr>
          <w:p>
            <w:pPr>
              <w:pStyle w:val="TableParagraph"/>
              <w:rPr>
                <w:sz w:val="20"/>
              </w:rPr>
            </w:pPr>
          </w:p>
        </w:tc>
      </w:tr>
      <w:tr>
        <w:trPr>
          <w:trHeight w:val="587" w:hRule="atLeast"/>
        </w:trPr>
        <w:tc>
          <w:tcPr>
            <w:tcW w:w="1109" w:type="dxa"/>
            <w:vMerge/>
            <w:tcBorders>
              <w:top w:val="nil"/>
            </w:tcBorders>
            <w:textDirection w:val="btLr"/>
          </w:tcPr>
          <w:p>
            <w:pPr>
              <w:rPr>
                <w:sz w:val="2"/>
                <w:szCs w:val="2"/>
              </w:rPr>
            </w:pPr>
          </w:p>
        </w:tc>
        <w:tc>
          <w:tcPr>
            <w:tcW w:w="2892" w:type="dxa"/>
            <w:gridSpan w:val="3"/>
          </w:tcPr>
          <w:p>
            <w:pPr>
              <w:pStyle w:val="TableParagraph"/>
              <w:spacing w:line="247" w:lineRule="auto" w:before="55"/>
              <w:ind w:left="102"/>
              <w:rPr>
                <w:i/>
                <w:sz w:val="20"/>
              </w:rPr>
            </w:pPr>
            <w:r>
              <w:rPr>
                <w:w w:val="105"/>
                <w:sz w:val="20"/>
              </w:rPr>
              <w:t>Phone No. with STD code/ Mobile No. </w:t>
            </w:r>
            <w:r>
              <w:rPr>
                <w:i/>
                <w:w w:val="105"/>
                <w:sz w:val="20"/>
              </w:rPr>
              <w:t>(if available)</w:t>
            </w:r>
          </w:p>
        </w:tc>
        <w:tc>
          <w:tcPr>
            <w:tcW w:w="5365" w:type="dxa"/>
            <w:gridSpan w:val="2"/>
          </w:tcPr>
          <w:p>
            <w:pPr>
              <w:pStyle w:val="TableParagraph"/>
              <w:rPr>
                <w:sz w:val="20"/>
              </w:rPr>
            </w:pPr>
          </w:p>
        </w:tc>
      </w:tr>
      <w:tr>
        <w:trPr>
          <w:trHeight w:val="348" w:hRule="atLeast"/>
        </w:trPr>
        <w:tc>
          <w:tcPr>
            <w:tcW w:w="1109" w:type="dxa"/>
            <w:vMerge/>
            <w:tcBorders>
              <w:top w:val="nil"/>
            </w:tcBorders>
            <w:textDirection w:val="btLr"/>
          </w:tcPr>
          <w:p>
            <w:pPr>
              <w:rPr>
                <w:sz w:val="2"/>
                <w:szCs w:val="2"/>
              </w:rPr>
            </w:pPr>
          </w:p>
        </w:tc>
        <w:tc>
          <w:tcPr>
            <w:tcW w:w="2892" w:type="dxa"/>
            <w:gridSpan w:val="3"/>
          </w:tcPr>
          <w:p>
            <w:pPr>
              <w:pStyle w:val="TableParagraph"/>
              <w:spacing w:before="55"/>
              <w:ind w:left="102"/>
              <w:rPr>
                <w:sz w:val="20"/>
              </w:rPr>
            </w:pPr>
            <w:r>
              <w:rPr>
                <w:w w:val="105"/>
                <w:sz w:val="20"/>
              </w:rPr>
              <w:t>Email Address (if available)</w:t>
            </w:r>
          </w:p>
        </w:tc>
        <w:tc>
          <w:tcPr>
            <w:tcW w:w="5365" w:type="dxa"/>
            <w:gridSpan w:val="2"/>
          </w:tcPr>
          <w:p>
            <w:pPr>
              <w:pStyle w:val="TableParagraph"/>
              <w:rPr>
                <w:sz w:val="20"/>
              </w:rPr>
            </w:pPr>
          </w:p>
        </w:tc>
      </w:tr>
      <w:tr>
        <w:trPr>
          <w:trHeight w:val="587" w:hRule="atLeast"/>
        </w:trPr>
        <w:tc>
          <w:tcPr>
            <w:tcW w:w="1109" w:type="dxa"/>
            <w:vMerge w:val="restart"/>
            <w:textDirection w:val="btLr"/>
          </w:tcPr>
          <w:p>
            <w:pPr>
              <w:pStyle w:val="TableParagraph"/>
              <w:spacing w:before="144"/>
              <w:ind w:left="1401" w:right="1401"/>
              <w:jc w:val="center"/>
              <w:rPr>
                <w:sz w:val="20"/>
              </w:rPr>
            </w:pPr>
            <w:r>
              <w:rPr>
                <w:w w:val="105"/>
                <w:sz w:val="20"/>
              </w:rPr>
              <w:t>Appeal Details</w:t>
            </w:r>
          </w:p>
        </w:tc>
        <w:tc>
          <w:tcPr>
            <w:tcW w:w="497" w:type="dxa"/>
          </w:tcPr>
          <w:p>
            <w:pPr>
              <w:pStyle w:val="TableParagraph"/>
              <w:spacing w:before="56"/>
              <w:ind w:left="9"/>
              <w:jc w:val="center"/>
              <w:rPr>
                <w:sz w:val="20"/>
              </w:rPr>
            </w:pPr>
            <w:r>
              <w:rPr>
                <w:w w:val="103"/>
                <w:sz w:val="20"/>
              </w:rPr>
              <w:t>1</w:t>
            </w:r>
          </w:p>
        </w:tc>
        <w:tc>
          <w:tcPr>
            <w:tcW w:w="5489" w:type="dxa"/>
            <w:gridSpan w:val="3"/>
          </w:tcPr>
          <w:p>
            <w:pPr>
              <w:pStyle w:val="TableParagraph"/>
              <w:spacing w:line="249" w:lineRule="auto" w:before="56"/>
              <w:ind w:left="100"/>
              <w:rPr>
                <w:sz w:val="20"/>
              </w:rPr>
            </w:pPr>
            <w:r>
              <w:rPr>
                <w:w w:val="105"/>
                <w:sz w:val="20"/>
              </w:rPr>
              <w:t>Assessment year in connection with which the appeal is preferred</w:t>
            </w:r>
          </w:p>
        </w:tc>
        <w:tc>
          <w:tcPr>
            <w:tcW w:w="2271" w:type="dxa"/>
          </w:tcPr>
          <w:p>
            <w:pPr>
              <w:pStyle w:val="TableParagraph"/>
              <w:rPr>
                <w:sz w:val="20"/>
              </w:rPr>
            </w:pPr>
          </w:p>
        </w:tc>
      </w:tr>
      <w:tr>
        <w:trPr>
          <w:trHeight w:val="588" w:hRule="atLeast"/>
        </w:trPr>
        <w:tc>
          <w:tcPr>
            <w:tcW w:w="1109" w:type="dxa"/>
            <w:vMerge/>
            <w:tcBorders>
              <w:top w:val="nil"/>
            </w:tcBorders>
            <w:textDirection w:val="btLr"/>
          </w:tcPr>
          <w:p>
            <w:pPr>
              <w:rPr>
                <w:sz w:val="2"/>
                <w:szCs w:val="2"/>
              </w:rPr>
            </w:pPr>
          </w:p>
        </w:tc>
        <w:tc>
          <w:tcPr>
            <w:tcW w:w="497" w:type="dxa"/>
          </w:tcPr>
          <w:p>
            <w:pPr>
              <w:pStyle w:val="TableParagraph"/>
              <w:spacing w:before="56"/>
              <w:ind w:left="9"/>
              <w:jc w:val="center"/>
              <w:rPr>
                <w:sz w:val="20"/>
              </w:rPr>
            </w:pPr>
            <w:r>
              <w:rPr>
                <w:w w:val="103"/>
                <w:sz w:val="20"/>
              </w:rPr>
              <w:t>2</w:t>
            </w:r>
          </w:p>
        </w:tc>
        <w:tc>
          <w:tcPr>
            <w:tcW w:w="5489" w:type="dxa"/>
            <w:gridSpan w:val="3"/>
          </w:tcPr>
          <w:p>
            <w:pPr>
              <w:pStyle w:val="TableParagraph"/>
              <w:spacing w:line="249" w:lineRule="auto" w:before="56"/>
              <w:ind w:left="100"/>
              <w:rPr>
                <w:sz w:val="20"/>
              </w:rPr>
            </w:pPr>
            <w:r>
              <w:rPr>
                <w:w w:val="105"/>
                <w:sz w:val="20"/>
              </w:rPr>
              <w:t>Total income declared by the assesse for the assessment year referred to in item 1</w:t>
            </w:r>
          </w:p>
        </w:tc>
        <w:tc>
          <w:tcPr>
            <w:tcW w:w="2271" w:type="dxa"/>
          </w:tcPr>
          <w:p>
            <w:pPr>
              <w:pStyle w:val="TableParagraph"/>
              <w:rPr>
                <w:sz w:val="20"/>
              </w:rPr>
            </w:pPr>
          </w:p>
        </w:tc>
      </w:tr>
      <w:tr>
        <w:trPr>
          <w:trHeight w:val="349" w:hRule="atLeast"/>
        </w:trPr>
        <w:tc>
          <w:tcPr>
            <w:tcW w:w="1109" w:type="dxa"/>
            <w:vMerge/>
            <w:tcBorders>
              <w:top w:val="nil"/>
            </w:tcBorders>
            <w:textDirection w:val="btLr"/>
          </w:tcPr>
          <w:p>
            <w:pPr>
              <w:rPr>
                <w:sz w:val="2"/>
                <w:szCs w:val="2"/>
              </w:rPr>
            </w:pPr>
          </w:p>
        </w:tc>
        <w:tc>
          <w:tcPr>
            <w:tcW w:w="497" w:type="dxa"/>
          </w:tcPr>
          <w:p>
            <w:pPr>
              <w:pStyle w:val="TableParagraph"/>
              <w:spacing w:before="55"/>
              <w:ind w:left="9"/>
              <w:jc w:val="center"/>
              <w:rPr>
                <w:sz w:val="20"/>
              </w:rPr>
            </w:pPr>
            <w:r>
              <w:rPr>
                <w:w w:val="103"/>
                <w:sz w:val="20"/>
              </w:rPr>
              <w:t>3</w:t>
            </w:r>
          </w:p>
        </w:tc>
        <w:tc>
          <w:tcPr>
            <w:tcW w:w="5489" w:type="dxa"/>
            <w:gridSpan w:val="3"/>
          </w:tcPr>
          <w:p>
            <w:pPr>
              <w:pStyle w:val="TableParagraph"/>
              <w:spacing w:before="55"/>
              <w:ind w:left="100"/>
              <w:rPr>
                <w:sz w:val="20"/>
              </w:rPr>
            </w:pPr>
            <w:r>
              <w:rPr>
                <w:w w:val="105"/>
                <w:sz w:val="20"/>
              </w:rPr>
              <w:t>Details of the order appealed against</w:t>
            </w:r>
          </w:p>
        </w:tc>
        <w:tc>
          <w:tcPr>
            <w:tcW w:w="2271" w:type="dxa"/>
            <w:shd w:val="clear" w:color="auto" w:fill="BFBFBF"/>
          </w:tcPr>
          <w:p>
            <w:pPr>
              <w:pStyle w:val="TableParagraph"/>
              <w:rPr>
                <w:sz w:val="20"/>
              </w:rPr>
            </w:pPr>
          </w:p>
        </w:tc>
      </w:tr>
      <w:tr>
        <w:trPr>
          <w:trHeight w:val="348" w:hRule="atLeast"/>
        </w:trPr>
        <w:tc>
          <w:tcPr>
            <w:tcW w:w="1109" w:type="dxa"/>
            <w:vMerge/>
            <w:tcBorders>
              <w:top w:val="nil"/>
            </w:tcBorders>
            <w:textDirection w:val="btLr"/>
          </w:tcPr>
          <w:p>
            <w:pPr>
              <w:rPr>
                <w:sz w:val="2"/>
                <w:szCs w:val="2"/>
              </w:rPr>
            </w:pPr>
          </w:p>
        </w:tc>
        <w:tc>
          <w:tcPr>
            <w:tcW w:w="497" w:type="dxa"/>
            <w:vMerge w:val="restart"/>
          </w:tcPr>
          <w:p>
            <w:pPr>
              <w:pStyle w:val="TableParagraph"/>
              <w:rPr>
                <w:sz w:val="20"/>
              </w:rPr>
            </w:pPr>
          </w:p>
        </w:tc>
        <w:tc>
          <w:tcPr>
            <w:tcW w:w="427" w:type="dxa"/>
          </w:tcPr>
          <w:p>
            <w:pPr>
              <w:pStyle w:val="TableParagraph"/>
              <w:spacing w:before="57"/>
              <w:ind w:left="9"/>
              <w:jc w:val="center"/>
              <w:rPr>
                <w:sz w:val="20"/>
              </w:rPr>
            </w:pPr>
            <w:r>
              <w:rPr>
                <w:w w:val="103"/>
                <w:sz w:val="20"/>
              </w:rPr>
              <w:t>a</w:t>
            </w:r>
          </w:p>
        </w:tc>
        <w:tc>
          <w:tcPr>
            <w:tcW w:w="5062" w:type="dxa"/>
            <w:gridSpan w:val="2"/>
          </w:tcPr>
          <w:p>
            <w:pPr>
              <w:pStyle w:val="TableParagraph"/>
              <w:spacing w:before="57"/>
              <w:ind w:left="100"/>
              <w:rPr>
                <w:sz w:val="20"/>
              </w:rPr>
            </w:pPr>
            <w:r>
              <w:rPr>
                <w:w w:val="105"/>
                <w:sz w:val="20"/>
              </w:rPr>
              <w:t>Section and sub-section under which the order is passed</w:t>
            </w:r>
          </w:p>
        </w:tc>
        <w:tc>
          <w:tcPr>
            <w:tcW w:w="2271" w:type="dxa"/>
          </w:tcPr>
          <w:p>
            <w:pPr>
              <w:pStyle w:val="TableParagraph"/>
              <w:rPr>
                <w:sz w:val="20"/>
              </w:rPr>
            </w:pPr>
          </w:p>
        </w:tc>
      </w:tr>
      <w:tr>
        <w:trPr>
          <w:trHeight w:val="351" w:hRule="atLeast"/>
        </w:trPr>
        <w:tc>
          <w:tcPr>
            <w:tcW w:w="1109" w:type="dxa"/>
            <w:vMerge/>
            <w:tcBorders>
              <w:top w:val="nil"/>
            </w:tcBorders>
            <w:textDirection w:val="btLr"/>
          </w:tcPr>
          <w:p>
            <w:pPr>
              <w:rPr>
                <w:sz w:val="2"/>
                <w:szCs w:val="2"/>
              </w:rPr>
            </w:pPr>
          </w:p>
        </w:tc>
        <w:tc>
          <w:tcPr>
            <w:tcW w:w="497" w:type="dxa"/>
            <w:vMerge/>
            <w:tcBorders>
              <w:top w:val="nil"/>
            </w:tcBorders>
          </w:tcPr>
          <w:p>
            <w:pPr>
              <w:rPr>
                <w:sz w:val="2"/>
                <w:szCs w:val="2"/>
              </w:rPr>
            </w:pPr>
          </w:p>
        </w:tc>
        <w:tc>
          <w:tcPr>
            <w:tcW w:w="427" w:type="dxa"/>
          </w:tcPr>
          <w:p>
            <w:pPr>
              <w:pStyle w:val="TableParagraph"/>
              <w:spacing w:before="56"/>
              <w:ind w:left="7"/>
              <w:jc w:val="center"/>
              <w:rPr>
                <w:sz w:val="20"/>
              </w:rPr>
            </w:pPr>
            <w:r>
              <w:rPr>
                <w:w w:val="103"/>
                <w:sz w:val="20"/>
              </w:rPr>
              <w:t>b</w:t>
            </w:r>
          </w:p>
        </w:tc>
        <w:tc>
          <w:tcPr>
            <w:tcW w:w="5062" w:type="dxa"/>
            <w:gridSpan w:val="2"/>
          </w:tcPr>
          <w:p>
            <w:pPr>
              <w:pStyle w:val="TableParagraph"/>
              <w:spacing w:before="56"/>
              <w:ind w:left="100"/>
              <w:rPr>
                <w:sz w:val="20"/>
              </w:rPr>
            </w:pPr>
            <w:r>
              <w:rPr>
                <w:w w:val="105"/>
                <w:sz w:val="20"/>
              </w:rPr>
              <w:t>Date of order</w:t>
            </w:r>
          </w:p>
        </w:tc>
        <w:tc>
          <w:tcPr>
            <w:tcW w:w="2271" w:type="dxa"/>
          </w:tcPr>
          <w:p>
            <w:pPr>
              <w:pStyle w:val="TableParagraph"/>
              <w:rPr>
                <w:sz w:val="20"/>
              </w:rPr>
            </w:pPr>
          </w:p>
        </w:tc>
      </w:tr>
      <w:tr>
        <w:trPr>
          <w:trHeight w:val="348" w:hRule="atLeast"/>
        </w:trPr>
        <w:tc>
          <w:tcPr>
            <w:tcW w:w="1109" w:type="dxa"/>
            <w:vMerge/>
            <w:tcBorders>
              <w:top w:val="nil"/>
            </w:tcBorders>
            <w:textDirection w:val="btLr"/>
          </w:tcPr>
          <w:p>
            <w:pPr>
              <w:rPr>
                <w:sz w:val="2"/>
                <w:szCs w:val="2"/>
              </w:rPr>
            </w:pPr>
          </w:p>
        </w:tc>
        <w:tc>
          <w:tcPr>
            <w:tcW w:w="497" w:type="dxa"/>
            <w:vMerge/>
            <w:tcBorders>
              <w:top w:val="nil"/>
            </w:tcBorders>
          </w:tcPr>
          <w:p>
            <w:pPr>
              <w:rPr>
                <w:sz w:val="2"/>
                <w:szCs w:val="2"/>
              </w:rPr>
            </w:pPr>
          </w:p>
        </w:tc>
        <w:tc>
          <w:tcPr>
            <w:tcW w:w="427" w:type="dxa"/>
          </w:tcPr>
          <w:p>
            <w:pPr>
              <w:pStyle w:val="TableParagraph"/>
              <w:spacing w:before="55"/>
              <w:ind w:left="9"/>
              <w:jc w:val="center"/>
              <w:rPr>
                <w:sz w:val="20"/>
              </w:rPr>
            </w:pPr>
            <w:r>
              <w:rPr>
                <w:w w:val="103"/>
                <w:sz w:val="20"/>
              </w:rPr>
              <w:t>c</w:t>
            </w:r>
          </w:p>
        </w:tc>
        <w:tc>
          <w:tcPr>
            <w:tcW w:w="5062" w:type="dxa"/>
            <w:gridSpan w:val="2"/>
          </w:tcPr>
          <w:p>
            <w:pPr>
              <w:pStyle w:val="TableParagraph"/>
              <w:spacing w:before="55"/>
              <w:ind w:left="100"/>
              <w:rPr>
                <w:sz w:val="20"/>
              </w:rPr>
            </w:pPr>
            <w:r>
              <w:rPr>
                <w:w w:val="105"/>
                <w:sz w:val="20"/>
              </w:rPr>
              <w:t>Date of service or communication of the order</w:t>
            </w:r>
          </w:p>
        </w:tc>
        <w:tc>
          <w:tcPr>
            <w:tcW w:w="2271" w:type="dxa"/>
          </w:tcPr>
          <w:p>
            <w:pPr>
              <w:pStyle w:val="TableParagraph"/>
              <w:rPr>
                <w:sz w:val="20"/>
              </w:rPr>
            </w:pPr>
          </w:p>
        </w:tc>
      </w:tr>
      <w:tr>
        <w:trPr>
          <w:trHeight w:val="351" w:hRule="atLeast"/>
        </w:trPr>
        <w:tc>
          <w:tcPr>
            <w:tcW w:w="1109" w:type="dxa"/>
            <w:vMerge/>
            <w:tcBorders>
              <w:top w:val="nil"/>
            </w:tcBorders>
            <w:textDirection w:val="btLr"/>
          </w:tcPr>
          <w:p>
            <w:pPr>
              <w:rPr>
                <w:sz w:val="2"/>
                <w:szCs w:val="2"/>
              </w:rPr>
            </w:pPr>
          </w:p>
        </w:tc>
        <w:tc>
          <w:tcPr>
            <w:tcW w:w="497" w:type="dxa"/>
          </w:tcPr>
          <w:p>
            <w:pPr>
              <w:pStyle w:val="TableParagraph"/>
              <w:spacing w:before="59"/>
              <w:ind w:left="9"/>
              <w:jc w:val="center"/>
              <w:rPr>
                <w:sz w:val="20"/>
              </w:rPr>
            </w:pPr>
            <w:r>
              <w:rPr>
                <w:w w:val="103"/>
                <w:sz w:val="20"/>
              </w:rPr>
              <w:t>4</w:t>
            </w:r>
          </w:p>
        </w:tc>
        <w:tc>
          <w:tcPr>
            <w:tcW w:w="5489" w:type="dxa"/>
            <w:gridSpan w:val="3"/>
          </w:tcPr>
          <w:p>
            <w:pPr>
              <w:pStyle w:val="TableParagraph"/>
              <w:spacing w:before="59"/>
              <w:ind w:left="100"/>
              <w:rPr>
                <w:sz w:val="20"/>
              </w:rPr>
            </w:pPr>
            <w:r>
              <w:rPr>
                <w:w w:val="105"/>
                <w:sz w:val="20"/>
              </w:rPr>
              <w:t>Income-tax Authority passing the order appealed against</w:t>
            </w:r>
          </w:p>
        </w:tc>
        <w:tc>
          <w:tcPr>
            <w:tcW w:w="2271" w:type="dxa"/>
          </w:tcPr>
          <w:p>
            <w:pPr>
              <w:pStyle w:val="TableParagraph"/>
              <w:rPr>
                <w:sz w:val="20"/>
              </w:rPr>
            </w:pPr>
          </w:p>
        </w:tc>
      </w:tr>
      <w:tr>
        <w:trPr>
          <w:trHeight w:val="587" w:hRule="atLeast"/>
        </w:trPr>
        <w:tc>
          <w:tcPr>
            <w:tcW w:w="1109" w:type="dxa"/>
            <w:vMerge/>
            <w:tcBorders>
              <w:top w:val="nil"/>
            </w:tcBorders>
            <w:textDirection w:val="btLr"/>
          </w:tcPr>
          <w:p>
            <w:pPr>
              <w:rPr>
                <w:sz w:val="2"/>
                <w:szCs w:val="2"/>
              </w:rPr>
            </w:pPr>
          </w:p>
        </w:tc>
        <w:tc>
          <w:tcPr>
            <w:tcW w:w="497" w:type="dxa"/>
          </w:tcPr>
          <w:p>
            <w:pPr>
              <w:pStyle w:val="TableParagraph"/>
              <w:spacing w:before="55"/>
              <w:ind w:left="9"/>
              <w:jc w:val="center"/>
              <w:rPr>
                <w:sz w:val="20"/>
              </w:rPr>
            </w:pPr>
            <w:r>
              <w:rPr>
                <w:w w:val="103"/>
                <w:sz w:val="20"/>
              </w:rPr>
              <w:t>5</w:t>
            </w:r>
          </w:p>
        </w:tc>
        <w:tc>
          <w:tcPr>
            <w:tcW w:w="5489" w:type="dxa"/>
            <w:gridSpan w:val="3"/>
          </w:tcPr>
          <w:p>
            <w:pPr>
              <w:pStyle w:val="TableParagraph"/>
              <w:spacing w:line="249" w:lineRule="auto" w:before="55"/>
              <w:ind w:left="100"/>
              <w:rPr>
                <w:sz w:val="20"/>
              </w:rPr>
            </w:pPr>
            <w:r>
              <w:rPr>
                <w:w w:val="105"/>
                <w:sz w:val="20"/>
              </w:rPr>
              <w:t>The State and District in which the jurisdictional Assessing Officer is located</w:t>
            </w:r>
          </w:p>
        </w:tc>
        <w:tc>
          <w:tcPr>
            <w:tcW w:w="2271" w:type="dxa"/>
          </w:tcPr>
          <w:p>
            <w:pPr>
              <w:pStyle w:val="TableParagraph"/>
              <w:rPr>
                <w:sz w:val="20"/>
              </w:rPr>
            </w:pPr>
          </w:p>
        </w:tc>
      </w:tr>
      <w:tr>
        <w:trPr>
          <w:trHeight w:val="587" w:hRule="atLeast"/>
        </w:trPr>
        <w:tc>
          <w:tcPr>
            <w:tcW w:w="1109" w:type="dxa"/>
            <w:vMerge/>
            <w:tcBorders>
              <w:top w:val="nil"/>
            </w:tcBorders>
            <w:textDirection w:val="btLr"/>
          </w:tcPr>
          <w:p>
            <w:pPr>
              <w:rPr>
                <w:sz w:val="2"/>
                <w:szCs w:val="2"/>
              </w:rPr>
            </w:pPr>
          </w:p>
        </w:tc>
        <w:tc>
          <w:tcPr>
            <w:tcW w:w="497" w:type="dxa"/>
          </w:tcPr>
          <w:p>
            <w:pPr>
              <w:pStyle w:val="TableParagraph"/>
              <w:spacing w:before="55"/>
              <w:ind w:left="9"/>
              <w:jc w:val="center"/>
              <w:rPr>
                <w:sz w:val="20"/>
              </w:rPr>
            </w:pPr>
            <w:r>
              <w:rPr>
                <w:w w:val="103"/>
                <w:sz w:val="20"/>
              </w:rPr>
              <w:t>6</w:t>
            </w:r>
          </w:p>
        </w:tc>
        <w:tc>
          <w:tcPr>
            <w:tcW w:w="5489" w:type="dxa"/>
            <w:gridSpan w:val="3"/>
          </w:tcPr>
          <w:p>
            <w:pPr>
              <w:pStyle w:val="TableParagraph"/>
              <w:spacing w:line="249" w:lineRule="auto" w:before="55"/>
              <w:ind w:left="100" w:right="45"/>
              <w:rPr>
                <w:sz w:val="20"/>
              </w:rPr>
            </w:pPr>
            <w:r>
              <w:rPr>
                <w:w w:val="105"/>
                <w:sz w:val="20"/>
              </w:rPr>
              <w:t>Section and sub-section under which the original order is passed</w:t>
            </w:r>
          </w:p>
        </w:tc>
        <w:tc>
          <w:tcPr>
            <w:tcW w:w="2271" w:type="dxa"/>
          </w:tcPr>
          <w:p>
            <w:pPr>
              <w:pStyle w:val="TableParagraph"/>
              <w:rPr>
                <w:sz w:val="20"/>
              </w:rPr>
            </w:pPr>
          </w:p>
        </w:tc>
      </w:tr>
    </w:tbl>
    <w:p>
      <w:pPr>
        <w:spacing w:after="0"/>
        <w:rPr>
          <w:sz w:val="20"/>
        </w:rPr>
        <w:sectPr>
          <w:type w:val="continuous"/>
          <w:pgSz w:w="12240" w:h="15840"/>
          <w:pgMar w:top="1080" w:bottom="280" w:left="1320" w:right="13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9"/>
        <w:gridCol w:w="497"/>
        <w:gridCol w:w="106"/>
        <w:gridCol w:w="322"/>
        <w:gridCol w:w="1565"/>
        <w:gridCol w:w="1889"/>
        <w:gridCol w:w="1608"/>
        <w:gridCol w:w="274"/>
        <w:gridCol w:w="1890"/>
        <w:gridCol w:w="107"/>
      </w:tblGrid>
      <w:tr>
        <w:trPr>
          <w:trHeight w:val="312" w:hRule="atLeast"/>
        </w:trPr>
        <w:tc>
          <w:tcPr>
            <w:tcW w:w="1109" w:type="dxa"/>
            <w:vMerge w:val="restart"/>
            <w:textDirection w:val="btLr"/>
          </w:tcPr>
          <w:p>
            <w:pPr>
              <w:pStyle w:val="TableParagraph"/>
              <w:spacing w:before="144"/>
              <w:ind w:left="530"/>
              <w:rPr>
                <w:sz w:val="20"/>
              </w:rPr>
            </w:pPr>
            <w:r>
              <w:rPr>
                <w:w w:val="105"/>
                <w:sz w:val="20"/>
              </w:rPr>
              <w:t>Amounts disputed in appeal</w:t>
            </w:r>
          </w:p>
        </w:tc>
        <w:tc>
          <w:tcPr>
            <w:tcW w:w="497" w:type="dxa"/>
            <w:vMerge w:val="restart"/>
          </w:tcPr>
          <w:p>
            <w:pPr>
              <w:pStyle w:val="TableParagraph"/>
              <w:spacing w:before="31"/>
              <w:ind w:left="9"/>
              <w:jc w:val="center"/>
              <w:rPr>
                <w:sz w:val="20"/>
              </w:rPr>
            </w:pPr>
            <w:r>
              <w:rPr>
                <w:w w:val="103"/>
                <w:sz w:val="20"/>
              </w:rPr>
              <w:t>7</w:t>
            </w:r>
          </w:p>
        </w:tc>
        <w:tc>
          <w:tcPr>
            <w:tcW w:w="5490" w:type="dxa"/>
            <w:gridSpan w:val="5"/>
          </w:tcPr>
          <w:p>
            <w:pPr>
              <w:pStyle w:val="TableParagraph"/>
              <w:spacing w:before="31"/>
              <w:ind w:left="100"/>
              <w:rPr>
                <w:sz w:val="20"/>
              </w:rPr>
            </w:pPr>
            <w:r>
              <w:rPr>
                <w:w w:val="105"/>
                <w:sz w:val="20"/>
              </w:rPr>
              <w:t>If appeal relates to any assessment: -</w:t>
            </w:r>
          </w:p>
        </w:tc>
        <w:tc>
          <w:tcPr>
            <w:tcW w:w="2271" w:type="dxa"/>
            <w:gridSpan w:val="3"/>
            <w:shd w:val="clear" w:color="auto" w:fill="BFBFBF"/>
          </w:tcPr>
          <w:p>
            <w:pPr>
              <w:pStyle w:val="TableParagraph"/>
              <w:rPr>
                <w:sz w:val="20"/>
              </w:rPr>
            </w:pPr>
          </w:p>
        </w:tc>
      </w:tr>
      <w:tr>
        <w:trPr>
          <w:trHeight w:val="549" w:hRule="atLeast"/>
        </w:trPr>
        <w:tc>
          <w:tcPr>
            <w:tcW w:w="1109" w:type="dxa"/>
            <w:vMerge/>
            <w:tcBorders>
              <w:top w:val="nil"/>
            </w:tcBorders>
            <w:textDirection w:val="btLr"/>
          </w:tcPr>
          <w:p>
            <w:pPr>
              <w:rPr>
                <w:sz w:val="2"/>
                <w:szCs w:val="2"/>
              </w:rPr>
            </w:pPr>
          </w:p>
        </w:tc>
        <w:tc>
          <w:tcPr>
            <w:tcW w:w="497" w:type="dxa"/>
            <w:vMerge/>
            <w:tcBorders>
              <w:top w:val="nil"/>
            </w:tcBorders>
          </w:tcPr>
          <w:p>
            <w:pPr>
              <w:rPr>
                <w:sz w:val="2"/>
                <w:szCs w:val="2"/>
              </w:rPr>
            </w:pPr>
          </w:p>
        </w:tc>
        <w:tc>
          <w:tcPr>
            <w:tcW w:w="428" w:type="dxa"/>
            <w:gridSpan w:val="2"/>
          </w:tcPr>
          <w:p>
            <w:pPr>
              <w:pStyle w:val="TableParagraph"/>
              <w:spacing w:before="30"/>
              <w:ind w:left="8"/>
              <w:jc w:val="center"/>
              <w:rPr>
                <w:sz w:val="20"/>
              </w:rPr>
            </w:pPr>
            <w:r>
              <w:rPr>
                <w:w w:val="103"/>
                <w:sz w:val="20"/>
              </w:rPr>
              <w:t>a</w:t>
            </w:r>
          </w:p>
        </w:tc>
        <w:tc>
          <w:tcPr>
            <w:tcW w:w="5062" w:type="dxa"/>
            <w:gridSpan w:val="3"/>
          </w:tcPr>
          <w:p>
            <w:pPr>
              <w:pStyle w:val="TableParagraph"/>
              <w:spacing w:line="247" w:lineRule="auto" w:before="32"/>
              <w:ind w:left="99" w:right="74"/>
              <w:rPr>
                <w:sz w:val="20"/>
              </w:rPr>
            </w:pPr>
            <w:r>
              <w:rPr>
                <w:w w:val="105"/>
                <w:sz w:val="20"/>
              </w:rPr>
              <w:t>Total income as computed by the Assessing Officer for the assessment year referred to in item 1</w:t>
            </w:r>
          </w:p>
        </w:tc>
        <w:tc>
          <w:tcPr>
            <w:tcW w:w="2271" w:type="dxa"/>
            <w:gridSpan w:val="3"/>
          </w:tcPr>
          <w:p>
            <w:pPr>
              <w:pStyle w:val="TableParagraph"/>
              <w:rPr>
                <w:sz w:val="20"/>
              </w:rPr>
            </w:pPr>
          </w:p>
        </w:tc>
      </w:tr>
      <w:tr>
        <w:trPr>
          <w:trHeight w:val="552" w:hRule="atLeast"/>
        </w:trPr>
        <w:tc>
          <w:tcPr>
            <w:tcW w:w="1109" w:type="dxa"/>
            <w:vMerge/>
            <w:tcBorders>
              <w:top w:val="nil"/>
            </w:tcBorders>
            <w:textDirection w:val="btLr"/>
          </w:tcPr>
          <w:p>
            <w:pPr>
              <w:rPr>
                <w:sz w:val="2"/>
                <w:szCs w:val="2"/>
              </w:rPr>
            </w:pPr>
          </w:p>
        </w:tc>
        <w:tc>
          <w:tcPr>
            <w:tcW w:w="497" w:type="dxa"/>
            <w:vMerge/>
            <w:tcBorders>
              <w:top w:val="nil"/>
            </w:tcBorders>
          </w:tcPr>
          <w:p>
            <w:pPr>
              <w:rPr>
                <w:sz w:val="2"/>
                <w:szCs w:val="2"/>
              </w:rPr>
            </w:pPr>
          </w:p>
        </w:tc>
        <w:tc>
          <w:tcPr>
            <w:tcW w:w="428" w:type="dxa"/>
            <w:gridSpan w:val="2"/>
          </w:tcPr>
          <w:p>
            <w:pPr>
              <w:pStyle w:val="TableParagraph"/>
              <w:spacing w:before="32"/>
              <w:ind w:left="6"/>
              <w:jc w:val="center"/>
              <w:rPr>
                <w:sz w:val="20"/>
              </w:rPr>
            </w:pPr>
            <w:r>
              <w:rPr>
                <w:w w:val="103"/>
                <w:sz w:val="20"/>
              </w:rPr>
              <w:t>b</w:t>
            </w:r>
          </w:p>
        </w:tc>
        <w:tc>
          <w:tcPr>
            <w:tcW w:w="5062" w:type="dxa"/>
            <w:gridSpan w:val="3"/>
          </w:tcPr>
          <w:p>
            <w:pPr>
              <w:pStyle w:val="TableParagraph"/>
              <w:spacing w:line="244" w:lineRule="auto" w:before="35"/>
              <w:ind w:left="99"/>
              <w:rPr>
                <w:sz w:val="20"/>
              </w:rPr>
            </w:pPr>
            <w:r>
              <w:rPr>
                <w:w w:val="105"/>
                <w:sz w:val="20"/>
              </w:rPr>
              <w:t>Total amount of additions or disallowances made in the assessment</w:t>
            </w:r>
          </w:p>
        </w:tc>
        <w:tc>
          <w:tcPr>
            <w:tcW w:w="2271" w:type="dxa"/>
            <w:gridSpan w:val="3"/>
          </w:tcPr>
          <w:p>
            <w:pPr>
              <w:pStyle w:val="TableParagraph"/>
              <w:rPr>
                <w:sz w:val="20"/>
              </w:rPr>
            </w:pPr>
          </w:p>
        </w:tc>
      </w:tr>
      <w:tr>
        <w:trPr>
          <w:trHeight w:val="309" w:hRule="atLeast"/>
        </w:trPr>
        <w:tc>
          <w:tcPr>
            <w:tcW w:w="1109" w:type="dxa"/>
            <w:vMerge/>
            <w:tcBorders>
              <w:top w:val="nil"/>
            </w:tcBorders>
            <w:textDirection w:val="btLr"/>
          </w:tcPr>
          <w:p>
            <w:pPr>
              <w:rPr>
                <w:sz w:val="2"/>
                <w:szCs w:val="2"/>
              </w:rPr>
            </w:pPr>
          </w:p>
        </w:tc>
        <w:tc>
          <w:tcPr>
            <w:tcW w:w="497" w:type="dxa"/>
            <w:vMerge/>
            <w:tcBorders>
              <w:top w:val="nil"/>
            </w:tcBorders>
          </w:tcPr>
          <w:p>
            <w:pPr>
              <w:rPr>
                <w:sz w:val="2"/>
                <w:szCs w:val="2"/>
              </w:rPr>
            </w:pPr>
          </w:p>
        </w:tc>
        <w:tc>
          <w:tcPr>
            <w:tcW w:w="428" w:type="dxa"/>
            <w:gridSpan w:val="2"/>
          </w:tcPr>
          <w:p>
            <w:pPr>
              <w:pStyle w:val="TableParagraph"/>
              <w:spacing w:before="31"/>
              <w:ind w:left="8"/>
              <w:jc w:val="center"/>
              <w:rPr>
                <w:sz w:val="20"/>
              </w:rPr>
            </w:pPr>
            <w:r>
              <w:rPr>
                <w:w w:val="103"/>
                <w:sz w:val="20"/>
              </w:rPr>
              <w:t>c</w:t>
            </w:r>
          </w:p>
        </w:tc>
        <w:tc>
          <w:tcPr>
            <w:tcW w:w="5062" w:type="dxa"/>
            <w:gridSpan w:val="3"/>
          </w:tcPr>
          <w:p>
            <w:pPr>
              <w:pStyle w:val="TableParagraph"/>
              <w:spacing w:before="31"/>
              <w:ind w:left="99"/>
              <w:rPr>
                <w:sz w:val="20"/>
              </w:rPr>
            </w:pPr>
            <w:r>
              <w:rPr>
                <w:w w:val="105"/>
                <w:sz w:val="20"/>
              </w:rPr>
              <w:t>Amount disputed in appeal</w:t>
            </w:r>
          </w:p>
        </w:tc>
        <w:tc>
          <w:tcPr>
            <w:tcW w:w="2271" w:type="dxa"/>
            <w:gridSpan w:val="3"/>
          </w:tcPr>
          <w:p>
            <w:pPr>
              <w:pStyle w:val="TableParagraph"/>
              <w:rPr>
                <w:sz w:val="20"/>
              </w:rPr>
            </w:pPr>
          </w:p>
        </w:tc>
      </w:tr>
      <w:tr>
        <w:trPr>
          <w:trHeight w:val="312" w:hRule="atLeast"/>
        </w:trPr>
        <w:tc>
          <w:tcPr>
            <w:tcW w:w="1109" w:type="dxa"/>
            <w:vMerge/>
            <w:tcBorders>
              <w:top w:val="nil"/>
            </w:tcBorders>
            <w:textDirection w:val="btLr"/>
          </w:tcPr>
          <w:p>
            <w:pPr>
              <w:rPr>
                <w:sz w:val="2"/>
                <w:szCs w:val="2"/>
              </w:rPr>
            </w:pPr>
          </w:p>
        </w:tc>
        <w:tc>
          <w:tcPr>
            <w:tcW w:w="497" w:type="dxa"/>
            <w:vMerge w:val="restart"/>
          </w:tcPr>
          <w:p>
            <w:pPr>
              <w:pStyle w:val="TableParagraph"/>
              <w:spacing w:before="34"/>
              <w:ind w:left="9"/>
              <w:jc w:val="center"/>
              <w:rPr>
                <w:sz w:val="20"/>
              </w:rPr>
            </w:pPr>
            <w:r>
              <w:rPr>
                <w:w w:val="103"/>
                <w:sz w:val="20"/>
              </w:rPr>
              <w:t>8</w:t>
            </w:r>
          </w:p>
        </w:tc>
        <w:tc>
          <w:tcPr>
            <w:tcW w:w="5490" w:type="dxa"/>
            <w:gridSpan w:val="5"/>
          </w:tcPr>
          <w:p>
            <w:pPr>
              <w:pStyle w:val="TableParagraph"/>
              <w:spacing w:before="34"/>
              <w:ind w:left="100"/>
              <w:rPr>
                <w:sz w:val="20"/>
              </w:rPr>
            </w:pPr>
            <w:r>
              <w:rPr>
                <w:w w:val="105"/>
                <w:sz w:val="20"/>
              </w:rPr>
              <w:t>If appeal relates to any penalty:-</w:t>
            </w:r>
          </w:p>
        </w:tc>
        <w:tc>
          <w:tcPr>
            <w:tcW w:w="2271" w:type="dxa"/>
            <w:gridSpan w:val="3"/>
            <w:shd w:val="clear" w:color="auto" w:fill="BFBFBF"/>
          </w:tcPr>
          <w:p>
            <w:pPr>
              <w:pStyle w:val="TableParagraph"/>
              <w:rPr>
                <w:sz w:val="20"/>
              </w:rPr>
            </w:pPr>
          </w:p>
        </w:tc>
      </w:tr>
      <w:tr>
        <w:trPr>
          <w:trHeight w:val="312" w:hRule="atLeast"/>
        </w:trPr>
        <w:tc>
          <w:tcPr>
            <w:tcW w:w="1109" w:type="dxa"/>
            <w:vMerge/>
            <w:tcBorders>
              <w:top w:val="nil"/>
            </w:tcBorders>
            <w:textDirection w:val="btLr"/>
          </w:tcPr>
          <w:p>
            <w:pPr>
              <w:rPr>
                <w:sz w:val="2"/>
                <w:szCs w:val="2"/>
              </w:rPr>
            </w:pPr>
          </w:p>
        </w:tc>
        <w:tc>
          <w:tcPr>
            <w:tcW w:w="497" w:type="dxa"/>
            <w:vMerge/>
            <w:tcBorders>
              <w:top w:val="nil"/>
            </w:tcBorders>
          </w:tcPr>
          <w:p>
            <w:pPr>
              <w:rPr>
                <w:sz w:val="2"/>
                <w:szCs w:val="2"/>
              </w:rPr>
            </w:pPr>
          </w:p>
        </w:tc>
        <w:tc>
          <w:tcPr>
            <w:tcW w:w="428" w:type="dxa"/>
            <w:gridSpan w:val="2"/>
          </w:tcPr>
          <w:p>
            <w:pPr>
              <w:pStyle w:val="TableParagraph"/>
              <w:spacing w:before="32"/>
              <w:ind w:left="8"/>
              <w:jc w:val="center"/>
              <w:rPr>
                <w:sz w:val="20"/>
              </w:rPr>
            </w:pPr>
            <w:r>
              <w:rPr>
                <w:w w:val="103"/>
                <w:sz w:val="20"/>
              </w:rPr>
              <w:t>a</w:t>
            </w:r>
          </w:p>
        </w:tc>
        <w:tc>
          <w:tcPr>
            <w:tcW w:w="5062" w:type="dxa"/>
            <w:gridSpan w:val="3"/>
          </w:tcPr>
          <w:p>
            <w:pPr>
              <w:pStyle w:val="TableParagraph"/>
              <w:spacing w:before="32"/>
              <w:ind w:left="99"/>
              <w:rPr>
                <w:sz w:val="20"/>
              </w:rPr>
            </w:pPr>
            <w:r>
              <w:rPr>
                <w:w w:val="105"/>
                <w:sz w:val="20"/>
              </w:rPr>
              <w:t>Total amount of penalty imposed as per order</w:t>
            </w:r>
          </w:p>
        </w:tc>
        <w:tc>
          <w:tcPr>
            <w:tcW w:w="2271" w:type="dxa"/>
            <w:gridSpan w:val="3"/>
          </w:tcPr>
          <w:p>
            <w:pPr>
              <w:pStyle w:val="TableParagraph"/>
              <w:rPr>
                <w:sz w:val="20"/>
              </w:rPr>
            </w:pPr>
          </w:p>
        </w:tc>
      </w:tr>
      <w:tr>
        <w:trPr>
          <w:trHeight w:val="312" w:hRule="atLeast"/>
        </w:trPr>
        <w:tc>
          <w:tcPr>
            <w:tcW w:w="1109" w:type="dxa"/>
            <w:vMerge/>
            <w:tcBorders>
              <w:top w:val="nil"/>
            </w:tcBorders>
            <w:textDirection w:val="btLr"/>
          </w:tcPr>
          <w:p>
            <w:pPr>
              <w:rPr>
                <w:sz w:val="2"/>
                <w:szCs w:val="2"/>
              </w:rPr>
            </w:pPr>
          </w:p>
        </w:tc>
        <w:tc>
          <w:tcPr>
            <w:tcW w:w="497" w:type="dxa"/>
            <w:vMerge/>
            <w:tcBorders>
              <w:top w:val="nil"/>
            </w:tcBorders>
          </w:tcPr>
          <w:p>
            <w:pPr>
              <w:rPr>
                <w:sz w:val="2"/>
                <w:szCs w:val="2"/>
              </w:rPr>
            </w:pPr>
          </w:p>
        </w:tc>
        <w:tc>
          <w:tcPr>
            <w:tcW w:w="428" w:type="dxa"/>
            <w:gridSpan w:val="2"/>
          </w:tcPr>
          <w:p>
            <w:pPr>
              <w:pStyle w:val="TableParagraph"/>
              <w:spacing w:before="31"/>
              <w:ind w:left="6"/>
              <w:jc w:val="center"/>
              <w:rPr>
                <w:sz w:val="20"/>
              </w:rPr>
            </w:pPr>
            <w:r>
              <w:rPr>
                <w:w w:val="103"/>
                <w:sz w:val="20"/>
              </w:rPr>
              <w:t>b</w:t>
            </w:r>
          </w:p>
        </w:tc>
        <w:tc>
          <w:tcPr>
            <w:tcW w:w="5062" w:type="dxa"/>
            <w:gridSpan w:val="3"/>
          </w:tcPr>
          <w:p>
            <w:pPr>
              <w:pStyle w:val="TableParagraph"/>
              <w:spacing w:before="31"/>
              <w:ind w:left="99"/>
              <w:rPr>
                <w:sz w:val="20"/>
              </w:rPr>
            </w:pPr>
            <w:r>
              <w:rPr>
                <w:w w:val="105"/>
                <w:sz w:val="20"/>
              </w:rPr>
              <w:t>Amount of penalty disputed in appeal</w:t>
            </w:r>
          </w:p>
        </w:tc>
        <w:tc>
          <w:tcPr>
            <w:tcW w:w="2271" w:type="dxa"/>
            <w:gridSpan w:val="3"/>
          </w:tcPr>
          <w:p>
            <w:pPr>
              <w:pStyle w:val="TableParagraph"/>
              <w:rPr>
                <w:sz w:val="20"/>
              </w:rPr>
            </w:pPr>
          </w:p>
        </w:tc>
      </w:tr>
      <w:tr>
        <w:trPr>
          <w:trHeight w:val="312" w:hRule="atLeast"/>
        </w:trPr>
        <w:tc>
          <w:tcPr>
            <w:tcW w:w="1109" w:type="dxa"/>
            <w:vMerge/>
            <w:tcBorders>
              <w:top w:val="nil"/>
            </w:tcBorders>
            <w:textDirection w:val="btLr"/>
          </w:tcPr>
          <w:p>
            <w:pPr>
              <w:rPr>
                <w:sz w:val="2"/>
                <w:szCs w:val="2"/>
              </w:rPr>
            </w:pPr>
          </w:p>
        </w:tc>
        <w:tc>
          <w:tcPr>
            <w:tcW w:w="497" w:type="dxa"/>
            <w:vMerge w:val="restart"/>
          </w:tcPr>
          <w:p>
            <w:pPr>
              <w:pStyle w:val="TableParagraph"/>
              <w:spacing w:before="30"/>
              <w:ind w:left="9"/>
              <w:jc w:val="center"/>
              <w:rPr>
                <w:sz w:val="20"/>
              </w:rPr>
            </w:pPr>
            <w:r>
              <w:rPr>
                <w:w w:val="103"/>
                <w:sz w:val="20"/>
              </w:rPr>
              <w:t>9</w:t>
            </w:r>
          </w:p>
        </w:tc>
        <w:tc>
          <w:tcPr>
            <w:tcW w:w="5490" w:type="dxa"/>
            <w:gridSpan w:val="5"/>
          </w:tcPr>
          <w:p>
            <w:pPr>
              <w:pStyle w:val="TableParagraph"/>
              <w:spacing w:before="30"/>
              <w:ind w:left="100"/>
              <w:rPr>
                <w:sz w:val="20"/>
              </w:rPr>
            </w:pPr>
            <w:r>
              <w:rPr>
                <w:w w:val="105"/>
                <w:sz w:val="20"/>
              </w:rPr>
              <w:t>If appeal relates to any other matter:-</w:t>
            </w:r>
          </w:p>
        </w:tc>
        <w:tc>
          <w:tcPr>
            <w:tcW w:w="2271" w:type="dxa"/>
            <w:gridSpan w:val="3"/>
            <w:shd w:val="clear" w:color="auto" w:fill="BFBFBF"/>
          </w:tcPr>
          <w:p>
            <w:pPr>
              <w:pStyle w:val="TableParagraph"/>
              <w:rPr>
                <w:sz w:val="20"/>
              </w:rPr>
            </w:pPr>
          </w:p>
        </w:tc>
      </w:tr>
      <w:tr>
        <w:trPr>
          <w:trHeight w:val="311" w:hRule="atLeast"/>
        </w:trPr>
        <w:tc>
          <w:tcPr>
            <w:tcW w:w="1109" w:type="dxa"/>
            <w:vMerge/>
            <w:tcBorders>
              <w:top w:val="nil"/>
            </w:tcBorders>
            <w:textDirection w:val="btLr"/>
          </w:tcPr>
          <w:p>
            <w:pPr>
              <w:rPr>
                <w:sz w:val="2"/>
                <w:szCs w:val="2"/>
              </w:rPr>
            </w:pPr>
          </w:p>
        </w:tc>
        <w:tc>
          <w:tcPr>
            <w:tcW w:w="497" w:type="dxa"/>
            <w:vMerge/>
            <w:tcBorders>
              <w:top w:val="nil"/>
            </w:tcBorders>
          </w:tcPr>
          <w:p>
            <w:pPr>
              <w:rPr>
                <w:sz w:val="2"/>
                <w:szCs w:val="2"/>
              </w:rPr>
            </w:pPr>
          </w:p>
        </w:tc>
        <w:tc>
          <w:tcPr>
            <w:tcW w:w="428" w:type="dxa"/>
            <w:gridSpan w:val="2"/>
          </w:tcPr>
          <w:p>
            <w:pPr>
              <w:pStyle w:val="TableParagraph"/>
              <w:spacing w:before="31"/>
              <w:ind w:left="8"/>
              <w:jc w:val="center"/>
              <w:rPr>
                <w:sz w:val="20"/>
              </w:rPr>
            </w:pPr>
            <w:r>
              <w:rPr>
                <w:w w:val="103"/>
                <w:sz w:val="20"/>
              </w:rPr>
              <w:t>a</w:t>
            </w:r>
          </w:p>
        </w:tc>
        <w:tc>
          <w:tcPr>
            <w:tcW w:w="5062" w:type="dxa"/>
            <w:gridSpan w:val="3"/>
          </w:tcPr>
          <w:p>
            <w:pPr>
              <w:pStyle w:val="TableParagraph"/>
              <w:spacing w:before="31"/>
              <w:ind w:left="99"/>
              <w:rPr>
                <w:sz w:val="20"/>
              </w:rPr>
            </w:pPr>
            <w:r>
              <w:rPr>
                <w:w w:val="105"/>
                <w:sz w:val="20"/>
              </w:rPr>
              <w:t>Amount disputed in appeal</w:t>
            </w:r>
          </w:p>
        </w:tc>
        <w:tc>
          <w:tcPr>
            <w:tcW w:w="2271" w:type="dxa"/>
            <w:gridSpan w:val="3"/>
          </w:tcPr>
          <w:p>
            <w:pPr>
              <w:pStyle w:val="TableParagraph"/>
              <w:rPr>
                <w:sz w:val="20"/>
              </w:rPr>
            </w:pPr>
          </w:p>
        </w:tc>
      </w:tr>
      <w:tr>
        <w:trPr>
          <w:trHeight w:val="789" w:hRule="atLeast"/>
        </w:trPr>
        <w:tc>
          <w:tcPr>
            <w:tcW w:w="1109" w:type="dxa"/>
            <w:vMerge w:val="restart"/>
            <w:textDirection w:val="btLr"/>
          </w:tcPr>
          <w:p>
            <w:pPr>
              <w:pStyle w:val="TableParagraph"/>
              <w:spacing w:before="144"/>
              <w:ind w:left="251"/>
              <w:rPr>
                <w:sz w:val="20"/>
              </w:rPr>
            </w:pPr>
            <w:r>
              <w:rPr>
                <w:w w:val="105"/>
                <w:sz w:val="20"/>
              </w:rPr>
              <w:t>Grounds of Appeal</w:t>
            </w:r>
          </w:p>
        </w:tc>
        <w:tc>
          <w:tcPr>
            <w:tcW w:w="497" w:type="dxa"/>
            <w:vMerge w:val="restart"/>
          </w:tcPr>
          <w:p>
            <w:pPr>
              <w:pStyle w:val="TableParagraph"/>
              <w:spacing w:before="31"/>
              <w:ind w:left="143"/>
              <w:rPr>
                <w:sz w:val="20"/>
              </w:rPr>
            </w:pPr>
            <w:r>
              <w:rPr>
                <w:w w:val="105"/>
                <w:sz w:val="20"/>
              </w:rPr>
              <w:t>10</w:t>
            </w:r>
          </w:p>
        </w:tc>
        <w:tc>
          <w:tcPr>
            <w:tcW w:w="5490" w:type="dxa"/>
            <w:gridSpan w:val="5"/>
          </w:tcPr>
          <w:p>
            <w:pPr>
              <w:pStyle w:val="TableParagraph"/>
              <w:spacing w:before="31"/>
              <w:ind w:left="100"/>
              <w:rPr>
                <w:sz w:val="20"/>
              </w:rPr>
            </w:pPr>
            <w:r>
              <w:rPr>
                <w:w w:val="105"/>
                <w:sz w:val="20"/>
              </w:rPr>
              <w:t>Grounds of Appeal</w:t>
            </w:r>
          </w:p>
        </w:tc>
        <w:tc>
          <w:tcPr>
            <w:tcW w:w="2271" w:type="dxa"/>
            <w:gridSpan w:val="3"/>
          </w:tcPr>
          <w:p>
            <w:pPr>
              <w:pStyle w:val="TableParagraph"/>
              <w:spacing w:line="249" w:lineRule="auto" w:before="34"/>
              <w:ind w:left="192" w:right="192" w:firstLine="3"/>
              <w:jc w:val="center"/>
              <w:rPr>
                <w:i/>
                <w:sz w:val="20"/>
              </w:rPr>
            </w:pPr>
            <w:r>
              <w:rPr>
                <w:w w:val="105"/>
                <w:sz w:val="20"/>
              </w:rPr>
              <w:t>Tax effect relating to each Ground of</w:t>
            </w:r>
            <w:r>
              <w:rPr>
                <w:spacing w:val="-40"/>
                <w:w w:val="105"/>
                <w:sz w:val="20"/>
              </w:rPr>
              <w:t> </w:t>
            </w:r>
            <w:r>
              <w:rPr>
                <w:w w:val="105"/>
                <w:sz w:val="20"/>
              </w:rPr>
              <w:t>appeal </w:t>
            </w:r>
            <w:r>
              <w:rPr>
                <w:i/>
                <w:w w:val="105"/>
                <w:sz w:val="20"/>
              </w:rPr>
              <w:t>(see note</w:t>
            </w:r>
            <w:r>
              <w:rPr>
                <w:i/>
                <w:spacing w:val="-10"/>
                <w:w w:val="105"/>
                <w:sz w:val="20"/>
              </w:rPr>
              <w:t> </w:t>
            </w:r>
            <w:r>
              <w:rPr>
                <w:i/>
                <w:w w:val="105"/>
                <w:sz w:val="20"/>
              </w:rPr>
              <w:t>below)</w:t>
            </w:r>
          </w:p>
        </w:tc>
      </w:tr>
      <w:tr>
        <w:trPr>
          <w:trHeight w:val="312" w:hRule="atLeast"/>
        </w:trPr>
        <w:tc>
          <w:tcPr>
            <w:tcW w:w="1109" w:type="dxa"/>
            <w:vMerge/>
            <w:tcBorders>
              <w:top w:val="nil"/>
            </w:tcBorders>
            <w:textDirection w:val="btLr"/>
          </w:tcPr>
          <w:p>
            <w:pPr>
              <w:rPr>
                <w:sz w:val="2"/>
                <w:szCs w:val="2"/>
              </w:rPr>
            </w:pPr>
          </w:p>
        </w:tc>
        <w:tc>
          <w:tcPr>
            <w:tcW w:w="497" w:type="dxa"/>
            <w:vMerge/>
            <w:tcBorders>
              <w:top w:val="nil"/>
            </w:tcBorders>
          </w:tcPr>
          <w:p>
            <w:pPr>
              <w:rPr>
                <w:sz w:val="2"/>
                <w:szCs w:val="2"/>
              </w:rPr>
            </w:pPr>
          </w:p>
        </w:tc>
        <w:tc>
          <w:tcPr>
            <w:tcW w:w="428" w:type="dxa"/>
            <w:gridSpan w:val="2"/>
          </w:tcPr>
          <w:p>
            <w:pPr>
              <w:pStyle w:val="TableParagraph"/>
              <w:spacing w:before="31"/>
              <w:ind w:left="133"/>
              <w:rPr>
                <w:sz w:val="20"/>
              </w:rPr>
            </w:pPr>
            <w:r>
              <w:rPr>
                <w:w w:val="105"/>
                <w:sz w:val="20"/>
              </w:rPr>
              <w:t>1.</w:t>
            </w:r>
          </w:p>
        </w:tc>
        <w:tc>
          <w:tcPr>
            <w:tcW w:w="5062" w:type="dxa"/>
            <w:gridSpan w:val="3"/>
          </w:tcPr>
          <w:p>
            <w:pPr>
              <w:pStyle w:val="TableParagraph"/>
              <w:rPr>
                <w:sz w:val="20"/>
              </w:rPr>
            </w:pPr>
          </w:p>
        </w:tc>
        <w:tc>
          <w:tcPr>
            <w:tcW w:w="2271" w:type="dxa"/>
            <w:gridSpan w:val="3"/>
          </w:tcPr>
          <w:p>
            <w:pPr>
              <w:pStyle w:val="TableParagraph"/>
              <w:rPr>
                <w:sz w:val="20"/>
              </w:rPr>
            </w:pPr>
          </w:p>
        </w:tc>
      </w:tr>
      <w:tr>
        <w:trPr>
          <w:trHeight w:val="312" w:hRule="atLeast"/>
        </w:trPr>
        <w:tc>
          <w:tcPr>
            <w:tcW w:w="1109" w:type="dxa"/>
            <w:vMerge/>
            <w:tcBorders>
              <w:top w:val="nil"/>
            </w:tcBorders>
            <w:textDirection w:val="btLr"/>
          </w:tcPr>
          <w:p>
            <w:pPr>
              <w:rPr>
                <w:sz w:val="2"/>
                <w:szCs w:val="2"/>
              </w:rPr>
            </w:pPr>
          </w:p>
        </w:tc>
        <w:tc>
          <w:tcPr>
            <w:tcW w:w="497" w:type="dxa"/>
            <w:vMerge/>
            <w:tcBorders>
              <w:top w:val="nil"/>
            </w:tcBorders>
          </w:tcPr>
          <w:p>
            <w:pPr>
              <w:rPr>
                <w:sz w:val="2"/>
                <w:szCs w:val="2"/>
              </w:rPr>
            </w:pPr>
          </w:p>
        </w:tc>
        <w:tc>
          <w:tcPr>
            <w:tcW w:w="428" w:type="dxa"/>
            <w:gridSpan w:val="2"/>
          </w:tcPr>
          <w:p>
            <w:pPr>
              <w:pStyle w:val="TableParagraph"/>
              <w:spacing w:before="30"/>
              <w:ind w:left="133"/>
              <w:rPr>
                <w:sz w:val="20"/>
              </w:rPr>
            </w:pPr>
            <w:r>
              <w:rPr>
                <w:w w:val="105"/>
                <w:sz w:val="20"/>
              </w:rPr>
              <w:t>2.</w:t>
            </w:r>
          </w:p>
        </w:tc>
        <w:tc>
          <w:tcPr>
            <w:tcW w:w="5062" w:type="dxa"/>
            <w:gridSpan w:val="3"/>
          </w:tcPr>
          <w:p>
            <w:pPr>
              <w:pStyle w:val="TableParagraph"/>
              <w:rPr>
                <w:sz w:val="20"/>
              </w:rPr>
            </w:pPr>
          </w:p>
        </w:tc>
        <w:tc>
          <w:tcPr>
            <w:tcW w:w="2271" w:type="dxa"/>
            <w:gridSpan w:val="3"/>
          </w:tcPr>
          <w:p>
            <w:pPr>
              <w:pStyle w:val="TableParagraph"/>
              <w:rPr>
                <w:sz w:val="20"/>
              </w:rPr>
            </w:pPr>
          </w:p>
        </w:tc>
      </w:tr>
      <w:tr>
        <w:trPr>
          <w:trHeight w:val="309" w:hRule="atLeast"/>
        </w:trPr>
        <w:tc>
          <w:tcPr>
            <w:tcW w:w="1109" w:type="dxa"/>
            <w:vMerge/>
            <w:tcBorders>
              <w:top w:val="nil"/>
            </w:tcBorders>
            <w:textDirection w:val="btLr"/>
          </w:tcPr>
          <w:p>
            <w:pPr>
              <w:rPr>
                <w:sz w:val="2"/>
                <w:szCs w:val="2"/>
              </w:rPr>
            </w:pPr>
          </w:p>
        </w:tc>
        <w:tc>
          <w:tcPr>
            <w:tcW w:w="497" w:type="dxa"/>
            <w:vMerge/>
            <w:tcBorders>
              <w:top w:val="nil"/>
            </w:tcBorders>
          </w:tcPr>
          <w:p>
            <w:pPr>
              <w:rPr>
                <w:sz w:val="2"/>
                <w:szCs w:val="2"/>
              </w:rPr>
            </w:pPr>
          </w:p>
        </w:tc>
        <w:tc>
          <w:tcPr>
            <w:tcW w:w="428" w:type="dxa"/>
            <w:gridSpan w:val="2"/>
          </w:tcPr>
          <w:p>
            <w:pPr>
              <w:pStyle w:val="TableParagraph"/>
              <w:spacing w:before="31"/>
              <w:ind w:left="133"/>
              <w:rPr>
                <w:sz w:val="20"/>
              </w:rPr>
            </w:pPr>
            <w:r>
              <w:rPr>
                <w:w w:val="105"/>
                <w:sz w:val="20"/>
              </w:rPr>
              <w:t>3.</w:t>
            </w:r>
          </w:p>
        </w:tc>
        <w:tc>
          <w:tcPr>
            <w:tcW w:w="5062" w:type="dxa"/>
            <w:gridSpan w:val="3"/>
          </w:tcPr>
          <w:p>
            <w:pPr>
              <w:pStyle w:val="TableParagraph"/>
              <w:rPr>
                <w:sz w:val="20"/>
              </w:rPr>
            </w:pPr>
          </w:p>
        </w:tc>
        <w:tc>
          <w:tcPr>
            <w:tcW w:w="2271" w:type="dxa"/>
            <w:gridSpan w:val="3"/>
          </w:tcPr>
          <w:p>
            <w:pPr>
              <w:pStyle w:val="TableParagraph"/>
              <w:rPr>
                <w:sz w:val="20"/>
              </w:rPr>
            </w:pPr>
          </w:p>
        </w:tc>
      </w:tr>
      <w:tr>
        <w:trPr>
          <w:trHeight w:val="313" w:hRule="atLeast"/>
        </w:trPr>
        <w:tc>
          <w:tcPr>
            <w:tcW w:w="1109" w:type="dxa"/>
            <w:vMerge/>
            <w:tcBorders>
              <w:top w:val="nil"/>
            </w:tcBorders>
            <w:textDirection w:val="btLr"/>
          </w:tcPr>
          <w:p>
            <w:pPr>
              <w:rPr>
                <w:sz w:val="2"/>
                <w:szCs w:val="2"/>
              </w:rPr>
            </w:pPr>
          </w:p>
        </w:tc>
        <w:tc>
          <w:tcPr>
            <w:tcW w:w="497" w:type="dxa"/>
            <w:vMerge/>
            <w:tcBorders>
              <w:top w:val="nil"/>
            </w:tcBorders>
          </w:tcPr>
          <w:p>
            <w:pPr>
              <w:rPr>
                <w:sz w:val="2"/>
                <w:szCs w:val="2"/>
              </w:rPr>
            </w:pPr>
          </w:p>
        </w:tc>
        <w:tc>
          <w:tcPr>
            <w:tcW w:w="5490" w:type="dxa"/>
            <w:gridSpan w:val="5"/>
          </w:tcPr>
          <w:p>
            <w:pPr>
              <w:pStyle w:val="TableParagraph"/>
              <w:spacing w:before="34"/>
              <w:ind w:left="100"/>
              <w:rPr>
                <w:i/>
                <w:sz w:val="20"/>
              </w:rPr>
            </w:pPr>
            <w:r>
              <w:rPr>
                <w:w w:val="105"/>
                <w:sz w:val="20"/>
              </w:rPr>
              <w:t>Total tax effect </w:t>
            </w:r>
            <w:r>
              <w:rPr>
                <w:i/>
                <w:w w:val="105"/>
                <w:sz w:val="20"/>
              </w:rPr>
              <w:t>(see note below)</w:t>
            </w:r>
          </w:p>
        </w:tc>
        <w:tc>
          <w:tcPr>
            <w:tcW w:w="2271" w:type="dxa"/>
            <w:gridSpan w:val="3"/>
          </w:tcPr>
          <w:p>
            <w:pPr>
              <w:pStyle w:val="TableParagraph"/>
              <w:rPr>
                <w:sz w:val="20"/>
              </w:rPr>
            </w:pPr>
          </w:p>
        </w:tc>
      </w:tr>
      <w:tr>
        <w:trPr>
          <w:trHeight w:val="587" w:hRule="atLeast"/>
        </w:trPr>
        <w:tc>
          <w:tcPr>
            <w:tcW w:w="1109" w:type="dxa"/>
            <w:vMerge w:val="restart"/>
            <w:textDirection w:val="btLr"/>
          </w:tcPr>
          <w:p>
            <w:pPr>
              <w:pStyle w:val="TableParagraph"/>
              <w:spacing w:line="252" w:lineRule="auto" w:before="144"/>
              <w:ind w:left="670" w:right="386" w:hanging="281"/>
              <w:rPr>
                <w:sz w:val="20"/>
              </w:rPr>
            </w:pPr>
            <w:r>
              <w:rPr>
                <w:w w:val="105"/>
                <w:sz w:val="20"/>
              </w:rPr>
              <w:t>Appeal filing details</w:t>
            </w:r>
          </w:p>
        </w:tc>
        <w:tc>
          <w:tcPr>
            <w:tcW w:w="497" w:type="dxa"/>
          </w:tcPr>
          <w:p>
            <w:pPr>
              <w:pStyle w:val="TableParagraph"/>
              <w:spacing w:before="31"/>
              <w:ind w:left="143"/>
              <w:rPr>
                <w:sz w:val="20"/>
              </w:rPr>
            </w:pPr>
            <w:r>
              <w:rPr>
                <w:w w:val="105"/>
                <w:sz w:val="20"/>
              </w:rPr>
              <w:t>11</w:t>
            </w:r>
          </w:p>
        </w:tc>
        <w:tc>
          <w:tcPr>
            <w:tcW w:w="5490" w:type="dxa"/>
            <w:gridSpan w:val="5"/>
          </w:tcPr>
          <w:p>
            <w:pPr>
              <w:pStyle w:val="TableParagraph"/>
              <w:spacing w:before="31"/>
              <w:ind w:left="100"/>
              <w:rPr>
                <w:sz w:val="20"/>
              </w:rPr>
            </w:pPr>
            <w:r>
              <w:rPr>
                <w:w w:val="105"/>
                <w:sz w:val="20"/>
              </w:rPr>
              <w:t>Whether there is any delay in filing of appeal</w:t>
            </w:r>
          </w:p>
          <w:p>
            <w:pPr>
              <w:pStyle w:val="TableParagraph"/>
              <w:spacing w:before="46"/>
              <w:ind w:left="100"/>
              <w:rPr>
                <w:i/>
                <w:sz w:val="20"/>
              </w:rPr>
            </w:pPr>
            <w:r>
              <w:rPr>
                <w:i/>
                <w:w w:val="105"/>
                <w:sz w:val="20"/>
              </w:rPr>
              <w:t>(if yes, please attach application seeking condonation of delay)</w:t>
            </w:r>
          </w:p>
        </w:tc>
        <w:tc>
          <w:tcPr>
            <w:tcW w:w="2271" w:type="dxa"/>
            <w:gridSpan w:val="3"/>
          </w:tcPr>
          <w:p>
            <w:pPr>
              <w:pStyle w:val="TableParagraph"/>
              <w:spacing w:before="31"/>
              <w:ind w:left="789" w:right="790"/>
              <w:jc w:val="center"/>
              <w:rPr>
                <w:sz w:val="20"/>
              </w:rPr>
            </w:pPr>
            <w:r>
              <w:rPr>
                <w:w w:val="105"/>
                <w:sz w:val="20"/>
              </w:rPr>
              <w:t>Yes/No</w:t>
            </w:r>
          </w:p>
        </w:tc>
      </w:tr>
      <w:tr>
        <w:trPr>
          <w:trHeight w:val="311" w:hRule="atLeast"/>
        </w:trPr>
        <w:tc>
          <w:tcPr>
            <w:tcW w:w="1109" w:type="dxa"/>
            <w:vMerge/>
            <w:tcBorders>
              <w:top w:val="nil"/>
            </w:tcBorders>
            <w:textDirection w:val="btLr"/>
          </w:tcPr>
          <w:p>
            <w:pPr>
              <w:rPr>
                <w:sz w:val="2"/>
                <w:szCs w:val="2"/>
              </w:rPr>
            </w:pPr>
          </w:p>
        </w:tc>
        <w:tc>
          <w:tcPr>
            <w:tcW w:w="497" w:type="dxa"/>
            <w:vMerge w:val="restart"/>
          </w:tcPr>
          <w:p>
            <w:pPr>
              <w:pStyle w:val="TableParagraph"/>
              <w:spacing w:before="31"/>
              <w:ind w:left="143"/>
              <w:rPr>
                <w:sz w:val="20"/>
              </w:rPr>
            </w:pPr>
            <w:r>
              <w:rPr>
                <w:w w:val="105"/>
                <w:sz w:val="20"/>
              </w:rPr>
              <w:t>12</w:t>
            </w:r>
          </w:p>
        </w:tc>
        <w:tc>
          <w:tcPr>
            <w:tcW w:w="7761" w:type="dxa"/>
            <w:gridSpan w:val="8"/>
          </w:tcPr>
          <w:p>
            <w:pPr>
              <w:pStyle w:val="TableParagraph"/>
              <w:spacing w:before="31"/>
              <w:ind w:left="100"/>
              <w:rPr>
                <w:sz w:val="20"/>
              </w:rPr>
            </w:pPr>
            <w:r>
              <w:rPr>
                <w:w w:val="105"/>
                <w:sz w:val="20"/>
              </w:rPr>
              <w:t>Details of Appeal Fees Paid</w:t>
            </w:r>
          </w:p>
        </w:tc>
      </w:tr>
      <w:tr>
        <w:trPr>
          <w:trHeight w:val="313" w:hRule="atLeast"/>
        </w:trPr>
        <w:tc>
          <w:tcPr>
            <w:tcW w:w="1109" w:type="dxa"/>
            <w:vMerge/>
            <w:tcBorders>
              <w:top w:val="nil"/>
            </w:tcBorders>
            <w:textDirection w:val="btLr"/>
          </w:tcPr>
          <w:p>
            <w:pPr>
              <w:rPr>
                <w:sz w:val="2"/>
                <w:szCs w:val="2"/>
              </w:rPr>
            </w:pPr>
          </w:p>
        </w:tc>
        <w:tc>
          <w:tcPr>
            <w:tcW w:w="497" w:type="dxa"/>
            <w:vMerge/>
            <w:tcBorders>
              <w:top w:val="nil"/>
            </w:tcBorders>
          </w:tcPr>
          <w:p>
            <w:pPr>
              <w:rPr>
                <w:sz w:val="2"/>
                <w:szCs w:val="2"/>
              </w:rPr>
            </w:pPr>
          </w:p>
        </w:tc>
        <w:tc>
          <w:tcPr>
            <w:tcW w:w="106" w:type="dxa"/>
            <w:vMerge w:val="restart"/>
            <w:tcBorders>
              <w:top w:val="nil"/>
            </w:tcBorders>
          </w:tcPr>
          <w:p>
            <w:pPr>
              <w:pStyle w:val="TableParagraph"/>
              <w:rPr>
                <w:sz w:val="20"/>
              </w:rPr>
            </w:pPr>
          </w:p>
        </w:tc>
        <w:tc>
          <w:tcPr>
            <w:tcW w:w="1887" w:type="dxa"/>
            <w:gridSpan w:val="2"/>
          </w:tcPr>
          <w:p>
            <w:pPr>
              <w:pStyle w:val="TableParagraph"/>
              <w:spacing w:before="31"/>
              <w:ind w:left="99"/>
              <w:rPr>
                <w:sz w:val="20"/>
              </w:rPr>
            </w:pPr>
            <w:r>
              <w:rPr>
                <w:w w:val="105"/>
                <w:sz w:val="20"/>
              </w:rPr>
              <w:t>BSR Code</w:t>
            </w:r>
          </w:p>
        </w:tc>
        <w:tc>
          <w:tcPr>
            <w:tcW w:w="1889" w:type="dxa"/>
          </w:tcPr>
          <w:p>
            <w:pPr>
              <w:pStyle w:val="TableParagraph"/>
              <w:spacing w:before="31"/>
              <w:ind w:left="96"/>
              <w:rPr>
                <w:sz w:val="20"/>
              </w:rPr>
            </w:pPr>
            <w:r>
              <w:rPr>
                <w:w w:val="105"/>
                <w:sz w:val="20"/>
              </w:rPr>
              <w:t>Date of payment</w:t>
            </w:r>
          </w:p>
        </w:tc>
        <w:tc>
          <w:tcPr>
            <w:tcW w:w="1882" w:type="dxa"/>
            <w:gridSpan w:val="2"/>
          </w:tcPr>
          <w:p>
            <w:pPr>
              <w:pStyle w:val="TableParagraph"/>
              <w:spacing w:before="31"/>
              <w:ind w:left="98"/>
              <w:rPr>
                <w:sz w:val="20"/>
              </w:rPr>
            </w:pPr>
            <w:r>
              <w:rPr>
                <w:w w:val="105"/>
                <w:sz w:val="20"/>
              </w:rPr>
              <w:t>Sl. No.</w:t>
            </w:r>
          </w:p>
        </w:tc>
        <w:tc>
          <w:tcPr>
            <w:tcW w:w="1890" w:type="dxa"/>
          </w:tcPr>
          <w:p>
            <w:pPr>
              <w:pStyle w:val="TableParagraph"/>
              <w:spacing w:before="31"/>
              <w:ind w:left="98"/>
              <w:rPr>
                <w:sz w:val="20"/>
              </w:rPr>
            </w:pPr>
            <w:r>
              <w:rPr>
                <w:w w:val="105"/>
                <w:sz w:val="20"/>
              </w:rPr>
              <w:t>Amount</w:t>
            </w:r>
          </w:p>
        </w:tc>
        <w:tc>
          <w:tcPr>
            <w:tcW w:w="107" w:type="dxa"/>
            <w:tcBorders>
              <w:top w:val="nil"/>
              <w:bottom w:val="nil"/>
            </w:tcBorders>
          </w:tcPr>
          <w:p>
            <w:pPr>
              <w:pStyle w:val="TableParagraph"/>
              <w:rPr>
                <w:sz w:val="20"/>
              </w:rPr>
            </w:pPr>
          </w:p>
        </w:tc>
      </w:tr>
      <w:tr>
        <w:trPr>
          <w:trHeight w:val="311" w:hRule="atLeast"/>
        </w:trPr>
        <w:tc>
          <w:tcPr>
            <w:tcW w:w="1109" w:type="dxa"/>
            <w:vMerge/>
            <w:tcBorders>
              <w:top w:val="nil"/>
            </w:tcBorders>
            <w:textDirection w:val="btLr"/>
          </w:tcPr>
          <w:p>
            <w:pPr>
              <w:rPr>
                <w:sz w:val="2"/>
                <w:szCs w:val="2"/>
              </w:rPr>
            </w:pPr>
          </w:p>
        </w:tc>
        <w:tc>
          <w:tcPr>
            <w:tcW w:w="497" w:type="dxa"/>
            <w:vMerge/>
            <w:tcBorders>
              <w:top w:val="nil"/>
            </w:tcBorders>
          </w:tcPr>
          <w:p>
            <w:pPr>
              <w:rPr>
                <w:sz w:val="2"/>
                <w:szCs w:val="2"/>
              </w:rPr>
            </w:pPr>
          </w:p>
        </w:tc>
        <w:tc>
          <w:tcPr>
            <w:tcW w:w="106" w:type="dxa"/>
            <w:vMerge/>
            <w:tcBorders>
              <w:top w:val="nil"/>
            </w:tcBorders>
          </w:tcPr>
          <w:p>
            <w:pPr>
              <w:rPr>
                <w:sz w:val="2"/>
                <w:szCs w:val="2"/>
              </w:rPr>
            </w:pPr>
          </w:p>
        </w:tc>
        <w:tc>
          <w:tcPr>
            <w:tcW w:w="1887" w:type="dxa"/>
            <w:gridSpan w:val="2"/>
          </w:tcPr>
          <w:p>
            <w:pPr>
              <w:pStyle w:val="TableParagraph"/>
              <w:rPr>
                <w:sz w:val="20"/>
              </w:rPr>
            </w:pPr>
          </w:p>
        </w:tc>
        <w:tc>
          <w:tcPr>
            <w:tcW w:w="1889" w:type="dxa"/>
          </w:tcPr>
          <w:p>
            <w:pPr>
              <w:pStyle w:val="TableParagraph"/>
              <w:rPr>
                <w:sz w:val="20"/>
              </w:rPr>
            </w:pPr>
          </w:p>
        </w:tc>
        <w:tc>
          <w:tcPr>
            <w:tcW w:w="1882" w:type="dxa"/>
            <w:gridSpan w:val="2"/>
          </w:tcPr>
          <w:p>
            <w:pPr>
              <w:pStyle w:val="TableParagraph"/>
              <w:rPr>
                <w:sz w:val="20"/>
              </w:rPr>
            </w:pPr>
          </w:p>
        </w:tc>
        <w:tc>
          <w:tcPr>
            <w:tcW w:w="1890" w:type="dxa"/>
          </w:tcPr>
          <w:p>
            <w:pPr>
              <w:pStyle w:val="TableParagraph"/>
              <w:rPr>
                <w:sz w:val="20"/>
              </w:rPr>
            </w:pPr>
          </w:p>
        </w:tc>
        <w:tc>
          <w:tcPr>
            <w:tcW w:w="107" w:type="dxa"/>
            <w:tcBorders>
              <w:top w:val="nil"/>
              <w:bottom w:val="nil"/>
            </w:tcBorders>
          </w:tcPr>
          <w:p>
            <w:pPr>
              <w:pStyle w:val="TableParagraph"/>
              <w:rPr>
                <w:sz w:val="20"/>
              </w:rPr>
            </w:pPr>
          </w:p>
        </w:tc>
      </w:tr>
      <w:tr>
        <w:trPr>
          <w:trHeight w:val="312" w:hRule="atLeast"/>
        </w:trPr>
        <w:tc>
          <w:tcPr>
            <w:tcW w:w="1109" w:type="dxa"/>
            <w:vMerge/>
            <w:tcBorders>
              <w:top w:val="nil"/>
            </w:tcBorders>
            <w:textDirection w:val="btLr"/>
          </w:tcPr>
          <w:p>
            <w:pPr>
              <w:rPr>
                <w:sz w:val="2"/>
                <w:szCs w:val="2"/>
              </w:rPr>
            </w:pPr>
          </w:p>
        </w:tc>
        <w:tc>
          <w:tcPr>
            <w:tcW w:w="497" w:type="dxa"/>
            <w:vMerge/>
            <w:tcBorders>
              <w:top w:val="nil"/>
            </w:tcBorders>
          </w:tcPr>
          <w:p>
            <w:pPr>
              <w:rPr>
                <w:sz w:val="2"/>
                <w:szCs w:val="2"/>
              </w:rPr>
            </w:pPr>
          </w:p>
        </w:tc>
        <w:tc>
          <w:tcPr>
            <w:tcW w:w="106" w:type="dxa"/>
            <w:vMerge/>
            <w:tcBorders>
              <w:top w:val="nil"/>
            </w:tcBorders>
          </w:tcPr>
          <w:p>
            <w:pPr>
              <w:rPr>
                <w:sz w:val="2"/>
                <w:szCs w:val="2"/>
              </w:rPr>
            </w:pPr>
          </w:p>
        </w:tc>
        <w:tc>
          <w:tcPr>
            <w:tcW w:w="1887" w:type="dxa"/>
            <w:gridSpan w:val="2"/>
            <w:tcBorders>
              <w:bottom w:val="single" w:sz="8" w:space="0" w:color="000000"/>
            </w:tcBorders>
          </w:tcPr>
          <w:p>
            <w:pPr>
              <w:pStyle w:val="TableParagraph"/>
              <w:rPr>
                <w:sz w:val="20"/>
              </w:rPr>
            </w:pPr>
          </w:p>
        </w:tc>
        <w:tc>
          <w:tcPr>
            <w:tcW w:w="1889" w:type="dxa"/>
            <w:tcBorders>
              <w:bottom w:val="single" w:sz="8" w:space="0" w:color="000000"/>
            </w:tcBorders>
          </w:tcPr>
          <w:p>
            <w:pPr>
              <w:pStyle w:val="TableParagraph"/>
              <w:rPr>
                <w:sz w:val="20"/>
              </w:rPr>
            </w:pPr>
          </w:p>
        </w:tc>
        <w:tc>
          <w:tcPr>
            <w:tcW w:w="1882" w:type="dxa"/>
            <w:gridSpan w:val="2"/>
            <w:tcBorders>
              <w:bottom w:val="single" w:sz="8" w:space="0" w:color="000000"/>
            </w:tcBorders>
          </w:tcPr>
          <w:p>
            <w:pPr>
              <w:pStyle w:val="TableParagraph"/>
              <w:rPr>
                <w:sz w:val="20"/>
              </w:rPr>
            </w:pPr>
          </w:p>
        </w:tc>
        <w:tc>
          <w:tcPr>
            <w:tcW w:w="1890" w:type="dxa"/>
            <w:tcBorders>
              <w:bottom w:val="single" w:sz="8" w:space="0" w:color="000000"/>
            </w:tcBorders>
          </w:tcPr>
          <w:p>
            <w:pPr>
              <w:pStyle w:val="TableParagraph"/>
              <w:rPr>
                <w:sz w:val="20"/>
              </w:rPr>
            </w:pPr>
          </w:p>
        </w:tc>
        <w:tc>
          <w:tcPr>
            <w:tcW w:w="107" w:type="dxa"/>
            <w:tcBorders>
              <w:top w:val="nil"/>
            </w:tcBorders>
          </w:tcPr>
          <w:p>
            <w:pPr>
              <w:pStyle w:val="TableParagraph"/>
              <w:rPr>
                <w:sz w:val="20"/>
              </w:rPr>
            </w:pPr>
          </w:p>
        </w:tc>
      </w:tr>
    </w:tbl>
    <w:p>
      <w:pPr>
        <w:pStyle w:val="BodyText"/>
        <w:spacing w:before="0"/>
        <w:ind w:left="0"/>
      </w:pPr>
    </w:p>
    <w:p>
      <w:pPr>
        <w:pStyle w:val="BodyText"/>
        <w:spacing w:before="0"/>
        <w:ind w:left="0"/>
      </w:pPr>
    </w:p>
    <w:p>
      <w:pPr>
        <w:pStyle w:val="BodyText"/>
        <w:spacing w:before="0"/>
        <w:ind w:left="0"/>
        <w:rPr>
          <w:sz w:val="21"/>
        </w:rPr>
      </w:pPr>
    </w:p>
    <w:p>
      <w:pPr>
        <w:tabs>
          <w:tab w:pos="6981" w:val="left" w:leader="none"/>
        </w:tabs>
        <w:spacing w:before="0"/>
        <w:ind w:left="213" w:right="0" w:firstLine="0"/>
        <w:jc w:val="left"/>
        <w:rPr>
          <w:b/>
          <w:sz w:val="20"/>
        </w:rPr>
      </w:pPr>
      <w:r>
        <w:rPr>
          <w:b/>
          <w:i/>
          <w:w w:val="105"/>
          <w:sz w:val="20"/>
        </w:rPr>
        <w:t>Signed</w:t>
        <w:tab/>
      </w:r>
      <w:r>
        <w:rPr>
          <w:b/>
          <w:w w:val="105"/>
          <w:sz w:val="20"/>
        </w:rPr>
        <w:t>Signed</w:t>
      </w:r>
    </w:p>
    <w:p>
      <w:pPr>
        <w:pStyle w:val="BodyText"/>
        <w:tabs>
          <w:tab w:pos="6980" w:val="left" w:leader="none"/>
        </w:tabs>
      </w:pPr>
      <w:r>
        <w:rPr>
          <w:w w:val="105"/>
        </w:rPr>
        <w:t>(Authorised representative,</w:t>
      </w:r>
      <w:r>
        <w:rPr>
          <w:spacing w:val="-24"/>
          <w:w w:val="105"/>
        </w:rPr>
        <w:t> </w:t>
      </w:r>
      <w:r>
        <w:rPr>
          <w:w w:val="105"/>
        </w:rPr>
        <w:t>if</w:t>
      </w:r>
      <w:r>
        <w:rPr>
          <w:spacing w:val="-10"/>
          <w:w w:val="105"/>
        </w:rPr>
        <w:t> </w:t>
      </w:r>
      <w:r>
        <w:rPr>
          <w:w w:val="105"/>
        </w:rPr>
        <w:t>any)</w:t>
        <w:tab/>
        <w:t>(Appellant)</w:t>
      </w:r>
    </w:p>
    <w:p>
      <w:pPr>
        <w:pStyle w:val="BodyText"/>
        <w:tabs>
          <w:tab w:pos="6980" w:val="left" w:leader="none"/>
        </w:tabs>
        <w:spacing w:before="123"/>
      </w:pPr>
      <w:r>
        <w:rPr>
          <w:w w:val="105"/>
        </w:rPr>
        <w:t>Name:</w:t>
        <w:tab/>
        <w:t>Name:</w:t>
      </w:r>
    </w:p>
    <w:p>
      <w:pPr>
        <w:pStyle w:val="BodyText"/>
        <w:tabs>
          <w:tab w:pos="6980" w:val="left" w:leader="none"/>
        </w:tabs>
        <w:spacing w:before="121"/>
      </w:pPr>
      <w:r>
        <w:rPr>
          <w:w w:val="105"/>
        </w:rPr>
        <w:t>Designation:</w:t>
        <w:tab/>
        <w:t>Designation:</w:t>
      </w:r>
    </w:p>
    <w:p>
      <w:pPr>
        <w:spacing w:before="125"/>
        <w:ind w:left="2263" w:right="2928" w:firstLine="0"/>
        <w:jc w:val="center"/>
        <w:rPr>
          <w:b/>
          <w:i/>
          <w:sz w:val="20"/>
        </w:rPr>
      </w:pPr>
      <w:r>
        <w:rPr>
          <w:b/>
          <w:i/>
          <w:w w:val="105"/>
          <w:sz w:val="20"/>
        </w:rPr>
        <w:t>Form of verification</w:t>
      </w:r>
    </w:p>
    <w:p>
      <w:pPr>
        <w:pStyle w:val="BodyText"/>
        <w:tabs>
          <w:tab w:pos="1060" w:val="left" w:leader="none"/>
        </w:tabs>
        <w:spacing w:line="249" w:lineRule="auto" w:before="116"/>
        <w:ind w:right="229"/>
      </w:pPr>
      <w:r>
        <w:rPr>
          <w:w w:val="105"/>
        </w:rPr>
        <w:t>I,</w:t>
      </w:r>
      <w:r>
        <w:rPr>
          <w:w w:val="105"/>
          <w:u w:val="single"/>
        </w:rPr>
        <w:t> </w:t>
        <w:tab/>
      </w:r>
      <w:r>
        <w:rPr>
          <w:w w:val="105"/>
        </w:rPr>
        <w:t>_,</w:t>
      </w:r>
      <w:r>
        <w:rPr>
          <w:spacing w:val="-11"/>
          <w:w w:val="105"/>
        </w:rPr>
        <w:t> </w:t>
      </w:r>
      <w:r>
        <w:rPr>
          <w:w w:val="105"/>
        </w:rPr>
        <w:t>the</w:t>
      </w:r>
      <w:r>
        <w:rPr>
          <w:spacing w:val="-10"/>
          <w:w w:val="105"/>
        </w:rPr>
        <w:t> </w:t>
      </w:r>
      <w:r>
        <w:rPr>
          <w:w w:val="105"/>
        </w:rPr>
        <w:t>appellant,</w:t>
      </w:r>
      <w:r>
        <w:rPr>
          <w:spacing w:val="-8"/>
          <w:w w:val="105"/>
        </w:rPr>
        <w:t> </w:t>
      </w:r>
      <w:r>
        <w:rPr>
          <w:w w:val="105"/>
        </w:rPr>
        <w:t>do</w:t>
      </w:r>
      <w:r>
        <w:rPr>
          <w:spacing w:val="-7"/>
          <w:w w:val="105"/>
        </w:rPr>
        <w:t> </w:t>
      </w:r>
      <w:r>
        <w:rPr>
          <w:w w:val="105"/>
        </w:rPr>
        <w:t>hereby</w:t>
      </w:r>
      <w:r>
        <w:rPr>
          <w:spacing w:val="-9"/>
          <w:w w:val="105"/>
        </w:rPr>
        <w:t> </w:t>
      </w:r>
      <w:r>
        <w:rPr>
          <w:w w:val="105"/>
        </w:rPr>
        <w:t>declare</w:t>
      </w:r>
      <w:r>
        <w:rPr>
          <w:spacing w:val="-7"/>
          <w:w w:val="105"/>
        </w:rPr>
        <w:t> </w:t>
      </w:r>
      <w:r>
        <w:rPr>
          <w:w w:val="105"/>
        </w:rPr>
        <w:t>that</w:t>
      </w:r>
      <w:r>
        <w:rPr>
          <w:spacing w:val="-7"/>
          <w:w w:val="105"/>
        </w:rPr>
        <w:t> </w:t>
      </w:r>
      <w:r>
        <w:rPr>
          <w:w w:val="105"/>
        </w:rPr>
        <w:t>what</w:t>
      </w:r>
      <w:r>
        <w:rPr>
          <w:spacing w:val="-7"/>
          <w:w w:val="105"/>
        </w:rPr>
        <w:t> </w:t>
      </w:r>
      <w:r>
        <w:rPr>
          <w:w w:val="105"/>
        </w:rPr>
        <w:t>is</w:t>
      </w:r>
      <w:r>
        <w:rPr>
          <w:spacing w:val="-8"/>
          <w:w w:val="105"/>
        </w:rPr>
        <w:t> </w:t>
      </w:r>
      <w:r>
        <w:rPr>
          <w:w w:val="105"/>
        </w:rPr>
        <w:t>stated</w:t>
      </w:r>
      <w:r>
        <w:rPr>
          <w:spacing w:val="-7"/>
          <w:w w:val="105"/>
        </w:rPr>
        <w:t> </w:t>
      </w:r>
      <w:r>
        <w:rPr>
          <w:w w:val="105"/>
        </w:rPr>
        <w:t>above</w:t>
      </w:r>
      <w:r>
        <w:rPr>
          <w:spacing w:val="-10"/>
          <w:w w:val="105"/>
        </w:rPr>
        <w:t> </w:t>
      </w:r>
      <w:r>
        <w:rPr>
          <w:w w:val="105"/>
        </w:rPr>
        <w:t>is</w:t>
      </w:r>
      <w:r>
        <w:rPr>
          <w:spacing w:val="-11"/>
          <w:w w:val="105"/>
        </w:rPr>
        <w:t> </w:t>
      </w:r>
      <w:r>
        <w:rPr>
          <w:w w:val="105"/>
        </w:rPr>
        <w:t>true</w:t>
      </w:r>
      <w:r>
        <w:rPr>
          <w:spacing w:val="-9"/>
          <w:w w:val="105"/>
        </w:rPr>
        <w:t> </w:t>
      </w:r>
      <w:r>
        <w:rPr>
          <w:w w:val="105"/>
        </w:rPr>
        <w:t>to</w:t>
      </w:r>
      <w:r>
        <w:rPr>
          <w:spacing w:val="-10"/>
          <w:w w:val="105"/>
        </w:rPr>
        <w:t> </w:t>
      </w:r>
      <w:r>
        <w:rPr>
          <w:w w:val="105"/>
        </w:rPr>
        <w:t>the</w:t>
      </w:r>
      <w:r>
        <w:rPr>
          <w:spacing w:val="-10"/>
          <w:w w:val="105"/>
        </w:rPr>
        <w:t> </w:t>
      </w:r>
      <w:r>
        <w:rPr>
          <w:w w:val="105"/>
        </w:rPr>
        <w:t>best</w:t>
      </w:r>
      <w:r>
        <w:rPr>
          <w:spacing w:val="-7"/>
          <w:w w:val="105"/>
        </w:rPr>
        <w:t> </w:t>
      </w:r>
      <w:r>
        <w:rPr>
          <w:w w:val="105"/>
        </w:rPr>
        <w:t>of</w:t>
      </w:r>
      <w:r>
        <w:rPr>
          <w:spacing w:val="-6"/>
          <w:w w:val="105"/>
        </w:rPr>
        <w:t> </w:t>
      </w:r>
      <w:r>
        <w:rPr>
          <w:w w:val="105"/>
        </w:rPr>
        <w:t>my</w:t>
      </w:r>
      <w:r>
        <w:rPr>
          <w:spacing w:val="-9"/>
          <w:w w:val="105"/>
        </w:rPr>
        <w:t> </w:t>
      </w:r>
      <w:r>
        <w:rPr>
          <w:w w:val="105"/>
        </w:rPr>
        <w:t>information</w:t>
      </w:r>
      <w:r>
        <w:rPr>
          <w:spacing w:val="-10"/>
          <w:w w:val="105"/>
        </w:rPr>
        <w:t> </w:t>
      </w:r>
      <w:r>
        <w:rPr>
          <w:w w:val="105"/>
        </w:rPr>
        <w:t>and belief.</w:t>
      </w:r>
    </w:p>
    <w:p>
      <w:pPr>
        <w:pStyle w:val="BodyText"/>
        <w:spacing w:before="0"/>
        <w:ind w:left="0"/>
      </w:pPr>
    </w:p>
    <w:p>
      <w:pPr>
        <w:pStyle w:val="BodyText"/>
        <w:spacing w:before="11"/>
        <w:ind w:left="0"/>
        <w:rPr>
          <w:sz w:val="19"/>
        </w:rPr>
      </w:pPr>
    </w:p>
    <w:p>
      <w:pPr>
        <w:pStyle w:val="BodyText"/>
        <w:tabs>
          <w:tab w:pos="6304" w:val="left" w:leader="none"/>
        </w:tabs>
        <w:spacing w:before="0"/>
      </w:pPr>
      <w:r>
        <w:rPr>
          <w:w w:val="105"/>
        </w:rPr>
        <w:t>Place</w:t>
        <w:tab/>
        <w:t>Signature</w:t>
      </w:r>
    </w:p>
    <w:p>
      <w:pPr>
        <w:pStyle w:val="BodyText"/>
        <w:tabs>
          <w:tab w:pos="6304" w:val="left" w:leader="none"/>
        </w:tabs>
        <w:spacing w:before="123"/>
      </w:pPr>
      <w:r>
        <w:rPr>
          <w:w w:val="105"/>
        </w:rPr>
        <w:t>Date</w:t>
        <w:tab/>
        <w:t>Name:</w:t>
      </w:r>
    </w:p>
    <w:p>
      <w:pPr>
        <w:pStyle w:val="BodyText"/>
        <w:spacing w:before="5"/>
        <w:ind w:left="6304"/>
      </w:pPr>
      <w:r>
        <w:rPr>
          <w:w w:val="105"/>
        </w:rPr>
        <w:t>Designation:</w:t>
      </w:r>
    </w:p>
    <w:p>
      <w:pPr>
        <w:pStyle w:val="Heading1"/>
        <w:spacing w:before="128"/>
        <w:ind w:left="213"/>
        <w:jc w:val="left"/>
      </w:pPr>
      <w:r>
        <w:rPr>
          <w:w w:val="105"/>
        </w:rPr>
        <w:t>Notes:</w:t>
      </w:r>
    </w:p>
    <w:p>
      <w:pPr>
        <w:pStyle w:val="ListParagraph"/>
        <w:numPr>
          <w:ilvl w:val="0"/>
          <w:numId w:val="1"/>
        </w:numPr>
        <w:tabs>
          <w:tab w:pos="890" w:val="left" w:leader="none"/>
          <w:tab w:pos="891" w:val="left" w:leader="none"/>
        </w:tabs>
        <w:spacing w:line="240" w:lineRule="auto" w:before="115" w:after="0"/>
        <w:ind w:left="213" w:right="0" w:firstLine="0"/>
        <w:jc w:val="left"/>
        <w:rPr>
          <w:sz w:val="20"/>
        </w:rPr>
      </w:pPr>
      <w:r>
        <w:rPr/>
        <w:pict>
          <v:line style="position:absolute;mso-position-horizontal-relative:page;mso-position-vertical-relative:paragraph;z-index:1024" from="433.799683pt,10.9388pt" to="440.427197pt,10.9388pt" stroked="true" strokeweight=".326479pt" strokecolor="#000000">
            <v:stroke dashstyle="solid"/>
            <w10:wrap type="none"/>
          </v:line>
        </w:pict>
      </w:r>
      <w:r>
        <w:rPr>
          <w:w w:val="105"/>
          <w:sz w:val="20"/>
        </w:rPr>
        <w:t>The</w:t>
      </w:r>
      <w:r>
        <w:rPr>
          <w:spacing w:val="-6"/>
          <w:w w:val="105"/>
          <w:sz w:val="20"/>
        </w:rPr>
        <w:t> </w:t>
      </w:r>
      <w:r>
        <w:rPr>
          <w:w w:val="105"/>
          <w:sz w:val="20"/>
        </w:rPr>
        <w:t>memorandum</w:t>
      </w:r>
      <w:r>
        <w:rPr>
          <w:spacing w:val="-5"/>
          <w:w w:val="105"/>
          <w:sz w:val="20"/>
        </w:rPr>
        <w:t> </w:t>
      </w:r>
      <w:r>
        <w:rPr>
          <w:w w:val="105"/>
          <w:sz w:val="20"/>
        </w:rPr>
        <w:t>of</w:t>
      </w:r>
      <w:r>
        <w:rPr>
          <w:spacing w:val="-2"/>
          <w:w w:val="105"/>
          <w:sz w:val="20"/>
        </w:rPr>
        <w:t> </w:t>
      </w:r>
      <w:r>
        <w:rPr>
          <w:w w:val="105"/>
          <w:sz w:val="20"/>
        </w:rPr>
        <w:t>appeal</w:t>
      </w:r>
      <w:r>
        <w:rPr>
          <w:spacing w:val="-2"/>
          <w:w w:val="105"/>
          <w:sz w:val="20"/>
        </w:rPr>
        <w:t> </w:t>
      </w:r>
      <w:r>
        <w:rPr>
          <w:w w:val="105"/>
          <w:sz w:val="20"/>
        </w:rPr>
        <w:t>shall</w:t>
      </w:r>
      <w:r>
        <w:rPr>
          <w:spacing w:val="-3"/>
          <w:w w:val="105"/>
          <w:sz w:val="20"/>
        </w:rPr>
        <w:t> </w:t>
      </w:r>
      <w:r>
        <w:rPr>
          <w:w w:val="105"/>
          <w:sz w:val="20"/>
        </w:rPr>
        <w:t>be</w:t>
      </w:r>
      <w:r>
        <w:rPr>
          <w:spacing w:val="-5"/>
          <w:w w:val="105"/>
          <w:sz w:val="20"/>
        </w:rPr>
        <w:t> </w:t>
      </w:r>
      <w:r>
        <w:rPr>
          <w:w w:val="105"/>
          <w:sz w:val="20"/>
        </w:rPr>
        <w:t>in</w:t>
      </w:r>
      <w:r>
        <w:rPr>
          <w:spacing w:val="-5"/>
          <w:w w:val="105"/>
          <w:sz w:val="20"/>
        </w:rPr>
        <w:t> </w:t>
      </w:r>
      <w:r>
        <w:rPr>
          <w:w w:val="105"/>
          <w:sz w:val="20"/>
        </w:rPr>
        <w:t>triplicate</w:t>
      </w:r>
      <w:r>
        <w:rPr>
          <w:spacing w:val="-1"/>
          <w:w w:val="105"/>
          <w:sz w:val="20"/>
        </w:rPr>
        <w:t> </w:t>
      </w:r>
      <w:r>
        <w:rPr>
          <w:w w:val="105"/>
          <w:sz w:val="20"/>
        </w:rPr>
        <w:t>and</w:t>
      </w:r>
      <w:r>
        <w:rPr>
          <w:spacing w:val="-2"/>
          <w:w w:val="105"/>
          <w:sz w:val="20"/>
        </w:rPr>
        <w:t> </w:t>
      </w:r>
      <w:r>
        <w:rPr>
          <w:w w:val="105"/>
          <w:sz w:val="20"/>
        </w:rPr>
        <w:t>shall</w:t>
      </w:r>
      <w:r>
        <w:rPr>
          <w:spacing w:val="-3"/>
          <w:w w:val="105"/>
          <w:sz w:val="20"/>
        </w:rPr>
        <w:t> </w:t>
      </w:r>
      <w:r>
        <w:rPr>
          <w:w w:val="105"/>
          <w:sz w:val="20"/>
        </w:rPr>
        <w:t>be</w:t>
      </w:r>
      <w:r>
        <w:rPr>
          <w:spacing w:val="-5"/>
          <w:w w:val="105"/>
          <w:sz w:val="20"/>
        </w:rPr>
        <w:t> </w:t>
      </w:r>
      <w:r>
        <w:rPr>
          <w:w w:val="105"/>
          <w:sz w:val="20"/>
        </w:rPr>
        <w:t>accompanied</w:t>
      </w:r>
      <w:r>
        <w:rPr>
          <w:spacing w:val="-3"/>
          <w:w w:val="105"/>
          <w:sz w:val="20"/>
        </w:rPr>
        <w:t> </w:t>
      </w:r>
      <w:r>
        <w:rPr>
          <w:w w:val="105"/>
          <w:sz w:val="20"/>
        </w:rPr>
        <w:t>by</w:t>
      </w:r>
    </w:p>
    <w:p>
      <w:pPr>
        <w:pStyle w:val="ListParagraph"/>
        <w:numPr>
          <w:ilvl w:val="1"/>
          <w:numId w:val="1"/>
        </w:numPr>
        <w:tabs>
          <w:tab w:pos="876" w:val="left" w:leader="none"/>
        </w:tabs>
        <w:spacing w:line="249" w:lineRule="auto" w:before="118" w:after="0"/>
        <w:ind w:left="890" w:right="224" w:hanging="339"/>
        <w:jc w:val="both"/>
        <w:rPr>
          <w:sz w:val="20"/>
        </w:rPr>
      </w:pPr>
      <w:r>
        <w:rPr>
          <w:w w:val="105"/>
          <w:sz w:val="20"/>
        </w:rPr>
        <w:t>two</w:t>
      </w:r>
      <w:r>
        <w:rPr>
          <w:spacing w:val="-4"/>
          <w:w w:val="105"/>
          <w:sz w:val="20"/>
        </w:rPr>
        <w:t> </w:t>
      </w:r>
      <w:r>
        <w:rPr>
          <w:w w:val="105"/>
          <w:sz w:val="20"/>
        </w:rPr>
        <w:t>copies</w:t>
      </w:r>
      <w:r>
        <w:rPr>
          <w:spacing w:val="-6"/>
          <w:w w:val="105"/>
          <w:sz w:val="20"/>
        </w:rPr>
        <w:t> </w:t>
      </w:r>
      <w:r>
        <w:rPr>
          <w:w w:val="105"/>
          <w:sz w:val="20"/>
        </w:rPr>
        <w:t>(at</w:t>
      </w:r>
      <w:r>
        <w:rPr>
          <w:spacing w:val="-3"/>
          <w:w w:val="105"/>
          <w:sz w:val="20"/>
        </w:rPr>
        <w:t> </w:t>
      </w:r>
      <w:r>
        <w:rPr>
          <w:w w:val="105"/>
          <w:sz w:val="20"/>
        </w:rPr>
        <w:t>least</w:t>
      </w:r>
      <w:r>
        <w:rPr>
          <w:spacing w:val="-3"/>
          <w:w w:val="105"/>
          <w:sz w:val="20"/>
        </w:rPr>
        <w:t> </w:t>
      </w:r>
      <w:r>
        <w:rPr>
          <w:w w:val="105"/>
          <w:sz w:val="20"/>
        </w:rPr>
        <w:t>one</w:t>
      </w:r>
      <w:r>
        <w:rPr>
          <w:spacing w:val="-6"/>
          <w:w w:val="105"/>
          <w:sz w:val="20"/>
        </w:rPr>
        <w:t> </w:t>
      </w:r>
      <w:r>
        <w:rPr>
          <w:w w:val="105"/>
          <w:sz w:val="20"/>
        </w:rPr>
        <w:t>of</w:t>
      </w:r>
      <w:r>
        <w:rPr>
          <w:spacing w:val="-2"/>
          <w:w w:val="105"/>
          <w:sz w:val="20"/>
        </w:rPr>
        <w:t> </w:t>
      </w:r>
      <w:r>
        <w:rPr>
          <w:w w:val="105"/>
          <w:sz w:val="20"/>
        </w:rPr>
        <w:t>which</w:t>
      </w:r>
      <w:r>
        <w:rPr>
          <w:spacing w:val="-3"/>
          <w:w w:val="105"/>
          <w:sz w:val="20"/>
        </w:rPr>
        <w:t> </w:t>
      </w:r>
      <w:r>
        <w:rPr>
          <w:w w:val="105"/>
          <w:sz w:val="20"/>
        </w:rPr>
        <w:t>should</w:t>
      </w:r>
      <w:r>
        <w:rPr>
          <w:spacing w:val="-3"/>
          <w:w w:val="105"/>
          <w:sz w:val="20"/>
        </w:rPr>
        <w:t> </w:t>
      </w:r>
      <w:r>
        <w:rPr>
          <w:w w:val="105"/>
          <w:sz w:val="20"/>
        </w:rPr>
        <w:t>be</w:t>
      </w:r>
      <w:r>
        <w:rPr>
          <w:spacing w:val="-6"/>
          <w:w w:val="105"/>
          <w:sz w:val="20"/>
        </w:rPr>
        <w:t> </w:t>
      </w:r>
      <w:r>
        <w:rPr>
          <w:w w:val="105"/>
          <w:sz w:val="20"/>
        </w:rPr>
        <w:t>a</w:t>
      </w:r>
      <w:r>
        <w:rPr>
          <w:spacing w:val="-6"/>
          <w:w w:val="105"/>
          <w:sz w:val="20"/>
        </w:rPr>
        <w:t> </w:t>
      </w:r>
      <w:r>
        <w:rPr>
          <w:w w:val="105"/>
          <w:sz w:val="20"/>
        </w:rPr>
        <w:t>certified</w:t>
      </w:r>
      <w:r>
        <w:rPr>
          <w:spacing w:val="-3"/>
          <w:w w:val="105"/>
          <w:sz w:val="20"/>
        </w:rPr>
        <w:t> </w:t>
      </w:r>
      <w:r>
        <w:rPr>
          <w:w w:val="105"/>
          <w:sz w:val="20"/>
        </w:rPr>
        <w:t>copy)</w:t>
      </w:r>
      <w:r>
        <w:rPr>
          <w:spacing w:val="-5"/>
          <w:w w:val="105"/>
          <w:sz w:val="20"/>
        </w:rPr>
        <w:t> </w:t>
      </w:r>
      <w:r>
        <w:rPr>
          <w:w w:val="105"/>
          <w:sz w:val="20"/>
        </w:rPr>
        <w:t>of</w:t>
      </w:r>
      <w:r>
        <w:rPr>
          <w:spacing w:val="-2"/>
          <w:w w:val="105"/>
          <w:sz w:val="20"/>
        </w:rPr>
        <w:t> </w:t>
      </w:r>
      <w:r>
        <w:rPr>
          <w:w w:val="105"/>
          <w:sz w:val="20"/>
        </w:rPr>
        <w:t>the</w:t>
      </w:r>
      <w:r>
        <w:rPr>
          <w:spacing w:val="-5"/>
          <w:w w:val="105"/>
          <w:sz w:val="20"/>
        </w:rPr>
        <w:t> </w:t>
      </w:r>
      <w:r>
        <w:rPr>
          <w:w w:val="105"/>
          <w:sz w:val="20"/>
        </w:rPr>
        <w:t>order</w:t>
      </w:r>
      <w:r>
        <w:rPr>
          <w:spacing w:val="-3"/>
          <w:w w:val="105"/>
          <w:sz w:val="20"/>
        </w:rPr>
        <w:t> </w:t>
      </w:r>
      <w:r>
        <w:rPr>
          <w:w w:val="105"/>
          <w:sz w:val="20"/>
        </w:rPr>
        <w:t>appealed</w:t>
      </w:r>
      <w:r>
        <w:rPr>
          <w:spacing w:val="-3"/>
          <w:w w:val="105"/>
          <w:sz w:val="20"/>
        </w:rPr>
        <w:t> </w:t>
      </w:r>
      <w:r>
        <w:rPr>
          <w:w w:val="105"/>
          <w:sz w:val="20"/>
        </w:rPr>
        <w:t>against,</w:t>
      </w:r>
      <w:r>
        <w:rPr>
          <w:spacing w:val="-4"/>
          <w:w w:val="105"/>
          <w:sz w:val="20"/>
        </w:rPr>
        <w:t> </w:t>
      </w:r>
      <w:r>
        <w:rPr>
          <w:w w:val="105"/>
          <w:sz w:val="20"/>
        </w:rPr>
        <w:t>two</w:t>
      </w:r>
      <w:r>
        <w:rPr>
          <w:spacing w:val="-5"/>
          <w:w w:val="105"/>
          <w:sz w:val="20"/>
        </w:rPr>
        <w:t> </w:t>
      </w:r>
      <w:r>
        <w:rPr>
          <w:w w:val="105"/>
          <w:sz w:val="20"/>
        </w:rPr>
        <w:t>copies of the relevant order of the Assessing Officer, two copies of the grounds of appeal or the grounds of objection</w:t>
      </w:r>
      <w:r>
        <w:rPr>
          <w:spacing w:val="36"/>
          <w:w w:val="105"/>
          <w:sz w:val="20"/>
        </w:rPr>
        <w:t> </w:t>
      </w:r>
      <w:r>
        <w:rPr>
          <w:w w:val="105"/>
          <w:sz w:val="20"/>
        </w:rPr>
        <w:t>before</w:t>
      </w:r>
      <w:r>
        <w:rPr>
          <w:spacing w:val="34"/>
          <w:w w:val="105"/>
          <w:sz w:val="20"/>
        </w:rPr>
        <w:t> </w:t>
      </w:r>
      <w:r>
        <w:rPr>
          <w:w w:val="105"/>
          <w:sz w:val="20"/>
        </w:rPr>
        <w:t>the</w:t>
      </w:r>
      <w:r>
        <w:rPr>
          <w:spacing w:val="34"/>
          <w:w w:val="105"/>
          <w:sz w:val="20"/>
        </w:rPr>
        <w:t> </w:t>
      </w:r>
      <w:r>
        <w:rPr>
          <w:w w:val="105"/>
          <w:sz w:val="20"/>
        </w:rPr>
        <w:t>first</w:t>
      </w:r>
      <w:r>
        <w:rPr>
          <w:spacing w:val="35"/>
          <w:w w:val="105"/>
          <w:sz w:val="20"/>
        </w:rPr>
        <w:t> </w:t>
      </w:r>
      <w:r>
        <w:rPr>
          <w:w w:val="105"/>
          <w:sz w:val="20"/>
        </w:rPr>
        <w:t>appellate</w:t>
      </w:r>
      <w:r>
        <w:rPr>
          <w:spacing w:val="36"/>
          <w:w w:val="105"/>
          <w:sz w:val="20"/>
        </w:rPr>
        <w:t> </w:t>
      </w:r>
      <w:r>
        <w:rPr>
          <w:w w:val="105"/>
          <w:sz w:val="20"/>
        </w:rPr>
        <w:t>authority</w:t>
      </w:r>
      <w:r>
        <w:rPr>
          <w:spacing w:val="34"/>
          <w:w w:val="105"/>
          <w:sz w:val="20"/>
        </w:rPr>
        <w:t> </w:t>
      </w:r>
      <w:r>
        <w:rPr>
          <w:w w:val="105"/>
          <w:sz w:val="20"/>
        </w:rPr>
        <w:t>or</w:t>
      </w:r>
      <w:r>
        <w:rPr>
          <w:spacing w:val="35"/>
          <w:w w:val="105"/>
          <w:sz w:val="20"/>
        </w:rPr>
        <w:t> </w:t>
      </w:r>
      <w:r>
        <w:rPr>
          <w:w w:val="105"/>
          <w:sz w:val="20"/>
        </w:rPr>
        <w:t>the</w:t>
      </w:r>
      <w:r>
        <w:rPr>
          <w:spacing w:val="34"/>
          <w:w w:val="105"/>
          <w:sz w:val="20"/>
        </w:rPr>
        <w:t> </w:t>
      </w:r>
      <w:r>
        <w:rPr>
          <w:w w:val="105"/>
          <w:sz w:val="20"/>
        </w:rPr>
        <w:t>Dispute</w:t>
      </w:r>
      <w:r>
        <w:rPr>
          <w:spacing w:val="35"/>
          <w:w w:val="105"/>
          <w:sz w:val="20"/>
        </w:rPr>
        <w:t> </w:t>
      </w:r>
      <w:r>
        <w:rPr>
          <w:w w:val="105"/>
          <w:sz w:val="20"/>
        </w:rPr>
        <w:t>Resolution</w:t>
      </w:r>
      <w:r>
        <w:rPr>
          <w:spacing w:val="36"/>
          <w:w w:val="105"/>
          <w:sz w:val="20"/>
        </w:rPr>
        <w:t> </w:t>
      </w:r>
      <w:r>
        <w:rPr>
          <w:w w:val="105"/>
          <w:sz w:val="20"/>
        </w:rPr>
        <w:t>Panel,</w:t>
      </w:r>
      <w:r>
        <w:rPr>
          <w:spacing w:val="35"/>
          <w:w w:val="105"/>
          <w:sz w:val="20"/>
        </w:rPr>
        <w:t> </w:t>
      </w:r>
      <w:r>
        <w:rPr>
          <w:w w:val="105"/>
          <w:sz w:val="20"/>
        </w:rPr>
        <w:t>two</w:t>
      </w:r>
      <w:r>
        <w:rPr>
          <w:spacing w:val="36"/>
          <w:w w:val="105"/>
          <w:sz w:val="20"/>
        </w:rPr>
        <w:t> </w:t>
      </w:r>
      <w:r>
        <w:rPr>
          <w:w w:val="105"/>
          <w:sz w:val="20"/>
        </w:rPr>
        <w:t>copies</w:t>
      </w:r>
      <w:r>
        <w:rPr>
          <w:spacing w:val="35"/>
          <w:w w:val="105"/>
          <w:sz w:val="20"/>
        </w:rPr>
        <w:t> </w:t>
      </w:r>
      <w:r>
        <w:rPr>
          <w:w w:val="105"/>
          <w:sz w:val="20"/>
        </w:rPr>
        <w:t>of</w:t>
      </w:r>
      <w:r>
        <w:rPr>
          <w:spacing w:val="36"/>
          <w:w w:val="105"/>
          <w:sz w:val="20"/>
        </w:rPr>
        <w:t> </w:t>
      </w:r>
      <w:r>
        <w:rPr>
          <w:w w:val="105"/>
          <w:sz w:val="20"/>
        </w:rPr>
        <w:t>the</w:t>
      </w:r>
    </w:p>
    <w:p>
      <w:pPr>
        <w:spacing w:after="0" w:line="249" w:lineRule="auto"/>
        <w:jc w:val="both"/>
        <w:rPr>
          <w:sz w:val="20"/>
        </w:rPr>
        <w:sectPr>
          <w:pgSz w:w="12240" w:h="15840"/>
          <w:pgMar w:top="1200" w:bottom="280" w:left="1320" w:right="1320"/>
        </w:sectPr>
      </w:pPr>
    </w:p>
    <w:p>
      <w:pPr>
        <w:pStyle w:val="BodyText"/>
        <w:spacing w:line="247" w:lineRule="auto" w:before="48"/>
        <w:ind w:left="890" w:right="226"/>
      </w:pPr>
      <w:r>
        <w:rPr>
          <w:w w:val="105"/>
        </w:rPr>
        <w:t>statement</w:t>
      </w:r>
      <w:r>
        <w:rPr>
          <w:spacing w:val="-10"/>
          <w:w w:val="105"/>
        </w:rPr>
        <w:t> </w:t>
      </w:r>
      <w:r>
        <w:rPr>
          <w:w w:val="105"/>
        </w:rPr>
        <w:t>of</w:t>
      </w:r>
      <w:r>
        <w:rPr>
          <w:spacing w:val="-8"/>
          <w:w w:val="105"/>
        </w:rPr>
        <w:t> </w:t>
      </w:r>
      <w:r>
        <w:rPr>
          <w:w w:val="105"/>
        </w:rPr>
        <w:t>facts,</w:t>
      </w:r>
      <w:r>
        <w:rPr>
          <w:spacing w:val="-8"/>
          <w:w w:val="105"/>
        </w:rPr>
        <w:t> </w:t>
      </w:r>
      <w:r>
        <w:rPr>
          <w:w w:val="105"/>
        </w:rPr>
        <w:t>if</w:t>
      </w:r>
      <w:r>
        <w:rPr>
          <w:spacing w:val="-8"/>
          <w:w w:val="105"/>
        </w:rPr>
        <w:t> </w:t>
      </w:r>
      <w:r>
        <w:rPr>
          <w:w w:val="105"/>
        </w:rPr>
        <w:t>any,</w:t>
      </w:r>
      <w:r>
        <w:rPr>
          <w:spacing w:val="-10"/>
          <w:w w:val="105"/>
        </w:rPr>
        <w:t> </w:t>
      </w:r>
      <w:r>
        <w:rPr>
          <w:w w:val="105"/>
        </w:rPr>
        <w:t>filed</w:t>
      </w:r>
      <w:r>
        <w:rPr>
          <w:spacing w:val="-9"/>
          <w:w w:val="105"/>
        </w:rPr>
        <w:t> </w:t>
      </w:r>
      <w:r>
        <w:rPr>
          <w:w w:val="105"/>
        </w:rPr>
        <w:t>before</w:t>
      </w:r>
      <w:r>
        <w:rPr>
          <w:spacing w:val="-12"/>
          <w:w w:val="105"/>
        </w:rPr>
        <w:t> </w:t>
      </w:r>
      <w:r>
        <w:rPr>
          <w:w w:val="105"/>
        </w:rPr>
        <w:t>the</w:t>
      </w:r>
      <w:r>
        <w:rPr>
          <w:spacing w:val="-9"/>
          <w:w w:val="105"/>
        </w:rPr>
        <w:t> </w:t>
      </w:r>
      <w:r>
        <w:rPr>
          <w:w w:val="105"/>
        </w:rPr>
        <w:t>said</w:t>
      </w:r>
      <w:r>
        <w:rPr>
          <w:spacing w:val="-8"/>
          <w:w w:val="105"/>
        </w:rPr>
        <w:t> </w:t>
      </w:r>
      <w:r>
        <w:rPr>
          <w:w w:val="105"/>
        </w:rPr>
        <w:t>appellate</w:t>
      </w:r>
      <w:r>
        <w:rPr>
          <w:spacing w:val="-9"/>
          <w:w w:val="105"/>
        </w:rPr>
        <w:t> </w:t>
      </w:r>
      <w:r>
        <w:rPr>
          <w:w w:val="105"/>
        </w:rPr>
        <w:t>authority</w:t>
      </w:r>
      <w:r>
        <w:rPr>
          <w:spacing w:val="-11"/>
          <w:w w:val="105"/>
        </w:rPr>
        <w:t> </w:t>
      </w:r>
      <w:r>
        <w:rPr>
          <w:w w:val="105"/>
        </w:rPr>
        <w:t>or</w:t>
      </w:r>
      <w:r>
        <w:rPr>
          <w:spacing w:val="-9"/>
          <w:w w:val="105"/>
        </w:rPr>
        <w:t> </w:t>
      </w:r>
      <w:r>
        <w:rPr>
          <w:w w:val="105"/>
        </w:rPr>
        <w:t>the</w:t>
      </w:r>
      <w:r>
        <w:rPr>
          <w:spacing w:val="-11"/>
          <w:w w:val="105"/>
        </w:rPr>
        <w:t> </w:t>
      </w:r>
      <w:r>
        <w:rPr>
          <w:w w:val="105"/>
        </w:rPr>
        <w:t>Dispute</w:t>
      </w:r>
      <w:r>
        <w:rPr>
          <w:spacing w:val="-9"/>
          <w:w w:val="105"/>
        </w:rPr>
        <w:t> </w:t>
      </w:r>
      <w:r>
        <w:rPr>
          <w:w w:val="105"/>
        </w:rPr>
        <w:t>Resolution</w:t>
      </w:r>
      <w:r>
        <w:rPr>
          <w:spacing w:val="-9"/>
          <w:w w:val="105"/>
        </w:rPr>
        <w:t> </w:t>
      </w:r>
      <w:r>
        <w:rPr>
          <w:w w:val="105"/>
        </w:rPr>
        <w:t>Panel,</w:t>
      </w:r>
      <w:r>
        <w:rPr>
          <w:spacing w:val="-10"/>
          <w:w w:val="105"/>
        </w:rPr>
        <w:t> </w:t>
      </w:r>
      <w:r>
        <w:rPr>
          <w:w w:val="105"/>
        </w:rPr>
        <w:t>and also-</w:t>
      </w:r>
    </w:p>
    <w:p>
      <w:pPr>
        <w:pStyle w:val="ListParagraph"/>
        <w:numPr>
          <w:ilvl w:val="2"/>
          <w:numId w:val="1"/>
        </w:numPr>
        <w:tabs>
          <w:tab w:pos="1455" w:val="left" w:leader="none"/>
        </w:tabs>
        <w:spacing w:line="247" w:lineRule="auto" w:before="114" w:after="0"/>
        <w:ind w:left="1454" w:right="225" w:hanging="506"/>
        <w:jc w:val="both"/>
        <w:rPr>
          <w:sz w:val="20"/>
        </w:rPr>
      </w:pPr>
      <w:r>
        <w:rPr>
          <w:w w:val="105"/>
          <w:sz w:val="20"/>
        </w:rPr>
        <w:t>in</w:t>
      </w:r>
      <w:r>
        <w:rPr>
          <w:spacing w:val="-4"/>
          <w:w w:val="105"/>
          <w:sz w:val="20"/>
        </w:rPr>
        <w:t> </w:t>
      </w:r>
      <w:r>
        <w:rPr>
          <w:w w:val="105"/>
          <w:sz w:val="20"/>
        </w:rPr>
        <w:t>the</w:t>
      </w:r>
      <w:r>
        <w:rPr>
          <w:spacing w:val="-7"/>
          <w:w w:val="105"/>
          <w:sz w:val="20"/>
        </w:rPr>
        <w:t> </w:t>
      </w:r>
      <w:r>
        <w:rPr>
          <w:w w:val="105"/>
          <w:sz w:val="20"/>
        </w:rPr>
        <w:t>case</w:t>
      </w:r>
      <w:r>
        <w:rPr>
          <w:spacing w:val="-6"/>
          <w:w w:val="105"/>
          <w:sz w:val="20"/>
        </w:rPr>
        <w:t> </w:t>
      </w:r>
      <w:r>
        <w:rPr>
          <w:w w:val="105"/>
          <w:sz w:val="20"/>
        </w:rPr>
        <w:t>of</w:t>
      </w:r>
      <w:r>
        <w:rPr>
          <w:spacing w:val="-3"/>
          <w:w w:val="105"/>
          <w:sz w:val="20"/>
        </w:rPr>
        <w:t> </w:t>
      </w:r>
      <w:r>
        <w:rPr>
          <w:w w:val="105"/>
          <w:sz w:val="20"/>
        </w:rPr>
        <w:t>an</w:t>
      </w:r>
      <w:r>
        <w:rPr>
          <w:spacing w:val="-6"/>
          <w:w w:val="105"/>
          <w:sz w:val="20"/>
        </w:rPr>
        <w:t> </w:t>
      </w:r>
      <w:r>
        <w:rPr>
          <w:w w:val="105"/>
          <w:sz w:val="20"/>
        </w:rPr>
        <w:t>appeal</w:t>
      </w:r>
      <w:r>
        <w:rPr>
          <w:spacing w:val="-4"/>
          <w:w w:val="105"/>
          <w:sz w:val="20"/>
        </w:rPr>
        <w:t> </w:t>
      </w:r>
      <w:r>
        <w:rPr>
          <w:w w:val="105"/>
          <w:sz w:val="20"/>
        </w:rPr>
        <w:t>against</w:t>
      </w:r>
      <w:r>
        <w:rPr>
          <w:spacing w:val="-4"/>
          <w:w w:val="105"/>
          <w:sz w:val="20"/>
        </w:rPr>
        <w:t> </w:t>
      </w:r>
      <w:r>
        <w:rPr>
          <w:w w:val="105"/>
          <w:sz w:val="20"/>
        </w:rPr>
        <w:t>an</w:t>
      </w:r>
      <w:r>
        <w:rPr>
          <w:spacing w:val="-3"/>
          <w:w w:val="105"/>
          <w:sz w:val="20"/>
        </w:rPr>
        <w:t> </w:t>
      </w:r>
      <w:r>
        <w:rPr>
          <w:w w:val="105"/>
          <w:sz w:val="20"/>
        </w:rPr>
        <w:t>order</w:t>
      </w:r>
      <w:r>
        <w:rPr>
          <w:spacing w:val="-6"/>
          <w:w w:val="105"/>
          <w:sz w:val="20"/>
        </w:rPr>
        <w:t> </w:t>
      </w:r>
      <w:r>
        <w:rPr>
          <w:w w:val="105"/>
          <w:sz w:val="20"/>
        </w:rPr>
        <w:t>levying</w:t>
      </w:r>
      <w:r>
        <w:rPr>
          <w:spacing w:val="-6"/>
          <w:w w:val="105"/>
          <w:sz w:val="20"/>
        </w:rPr>
        <w:t> </w:t>
      </w:r>
      <w:r>
        <w:rPr>
          <w:w w:val="105"/>
          <w:sz w:val="20"/>
        </w:rPr>
        <w:t>penalty,</w:t>
      </w:r>
      <w:r>
        <w:rPr>
          <w:spacing w:val="-3"/>
          <w:w w:val="105"/>
          <w:sz w:val="20"/>
        </w:rPr>
        <w:t> </w:t>
      </w:r>
      <w:r>
        <w:rPr>
          <w:w w:val="105"/>
          <w:sz w:val="20"/>
        </w:rPr>
        <w:t>two</w:t>
      </w:r>
      <w:r>
        <w:rPr>
          <w:spacing w:val="-4"/>
          <w:w w:val="105"/>
          <w:sz w:val="20"/>
        </w:rPr>
        <w:t> </w:t>
      </w:r>
      <w:r>
        <w:rPr>
          <w:w w:val="105"/>
          <w:sz w:val="20"/>
        </w:rPr>
        <w:t>copies</w:t>
      </w:r>
      <w:r>
        <w:rPr>
          <w:spacing w:val="-7"/>
          <w:w w:val="105"/>
          <w:sz w:val="20"/>
        </w:rPr>
        <w:t> </w:t>
      </w:r>
      <w:r>
        <w:rPr>
          <w:w w:val="105"/>
          <w:sz w:val="20"/>
        </w:rPr>
        <w:t>of</w:t>
      </w:r>
      <w:r>
        <w:rPr>
          <w:spacing w:val="-6"/>
          <w:w w:val="105"/>
          <w:sz w:val="20"/>
        </w:rPr>
        <w:t> </w:t>
      </w:r>
      <w:r>
        <w:rPr>
          <w:w w:val="105"/>
          <w:sz w:val="20"/>
        </w:rPr>
        <w:t>the</w:t>
      </w:r>
      <w:r>
        <w:rPr>
          <w:spacing w:val="-6"/>
          <w:w w:val="105"/>
          <w:sz w:val="20"/>
        </w:rPr>
        <w:t> </w:t>
      </w:r>
      <w:r>
        <w:rPr>
          <w:w w:val="105"/>
          <w:sz w:val="20"/>
        </w:rPr>
        <w:t>relevant</w:t>
      </w:r>
      <w:r>
        <w:rPr>
          <w:spacing w:val="-4"/>
          <w:w w:val="105"/>
          <w:sz w:val="20"/>
        </w:rPr>
        <w:t> </w:t>
      </w:r>
      <w:r>
        <w:rPr>
          <w:w w:val="105"/>
          <w:sz w:val="20"/>
        </w:rPr>
        <w:t>assessment order;</w:t>
      </w:r>
    </w:p>
    <w:p>
      <w:pPr>
        <w:pStyle w:val="ListParagraph"/>
        <w:numPr>
          <w:ilvl w:val="2"/>
          <w:numId w:val="1"/>
        </w:numPr>
        <w:tabs>
          <w:tab w:pos="1455" w:val="left" w:leader="none"/>
        </w:tabs>
        <w:spacing w:line="247" w:lineRule="auto" w:before="117" w:after="0"/>
        <w:ind w:left="1454" w:right="246" w:hanging="562"/>
        <w:jc w:val="both"/>
        <w:rPr>
          <w:sz w:val="20"/>
        </w:rPr>
      </w:pPr>
      <w:r>
        <w:rPr>
          <w:w w:val="105"/>
          <w:sz w:val="20"/>
        </w:rPr>
        <w:t>in</w:t>
      </w:r>
      <w:r>
        <w:rPr>
          <w:spacing w:val="-4"/>
          <w:w w:val="105"/>
          <w:sz w:val="20"/>
        </w:rPr>
        <w:t> </w:t>
      </w:r>
      <w:r>
        <w:rPr>
          <w:w w:val="105"/>
          <w:sz w:val="20"/>
        </w:rPr>
        <w:t>the</w:t>
      </w:r>
      <w:r>
        <w:rPr>
          <w:spacing w:val="-5"/>
          <w:w w:val="105"/>
          <w:sz w:val="20"/>
        </w:rPr>
        <w:t> </w:t>
      </w:r>
      <w:r>
        <w:rPr>
          <w:w w:val="105"/>
          <w:sz w:val="20"/>
        </w:rPr>
        <w:t>case</w:t>
      </w:r>
      <w:r>
        <w:rPr>
          <w:spacing w:val="-6"/>
          <w:w w:val="105"/>
          <w:sz w:val="20"/>
        </w:rPr>
        <w:t> </w:t>
      </w:r>
      <w:r>
        <w:rPr>
          <w:w w:val="105"/>
          <w:sz w:val="20"/>
        </w:rPr>
        <w:t>of</w:t>
      </w:r>
      <w:r>
        <w:rPr>
          <w:spacing w:val="-2"/>
          <w:w w:val="105"/>
          <w:sz w:val="20"/>
        </w:rPr>
        <w:t> </w:t>
      </w:r>
      <w:r>
        <w:rPr>
          <w:w w:val="105"/>
          <w:sz w:val="20"/>
        </w:rPr>
        <w:t>an</w:t>
      </w:r>
      <w:r>
        <w:rPr>
          <w:spacing w:val="-4"/>
          <w:w w:val="105"/>
          <w:sz w:val="20"/>
        </w:rPr>
        <w:t> </w:t>
      </w:r>
      <w:r>
        <w:rPr>
          <w:w w:val="105"/>
          <w:sz w:val="20"/>
        </w:rPr>
        <w:t>appeal against</w:t>
      </w:r>
      <w:r>
        <w:rPr>
          <w:spacing w:val="-3"/>
          <w:w w:val="105"/>
          <w:sz w:val="20"/>
        </w:rPr>
        <w:t> </w:t>
      </w:r>
      <w:r>
        <w:rPr>
          <w:w w:val="105"/>
          <w:sz w:val="20"/>
        </w:rPr>
        <w:t>an</w:t>
      </w:r>
      <w:r>
        <w:rPr>
          <w:spacing w:val="-4"/>
          <w:w w:val="105"/>
          <w:sz w:val="20"/>
        </w:rPr>
        <w:t> </w:t>
      </w:r>
      <w:r>
        <w:rPr>
          <w:w w:val="105"/>
          <w:sz w:val="20"/>
        </w:rPr>
        <w:t>order</w:t>
      </w:r>
      <w:r>
        <w:rPr>
          <w:spacing w:val="-4"/>
          <w:w w:val="105"/>
          <w:sz w:val="20"/>
        </w:rPr>
        <w:t> </w:t>
      </w:r>
      <w:r>
        <w:rPr>
          <w:w w:val="105"/>
          <w:sz w:val="20"/>
        </w:rPr>
        <w:t>under</w:t>
      </w:r>
      <w:r>
        <w:rPr>
          <w:spacing w:val="-5"/>
          <w:w w:val="105"/>
          <w:sz w:val="20"/>
        </w:rPr>
        <w:t> </w:t>
      </w:r>
      <w:r>
        <w:rPr>
          <w:w w:val="105"/>
          <w:sz w:val="20"/>
        </w:rPr>
        <w:t>sub-section</w:t>
      </w:r>
      <w:r>
        <w:rPr>
          <w:spacing w:val="-3"/>
          <w:w w:val="105"/>
          <w:sz w:val="20"/>
        </w:rPr>
        <w:t> </w:t>
      </w:r>
      <w:r>
        <w:rPr>
          <w:w w:val="105"/>
          <w:sz w:val="20"/>
        </w:rPr>
        <w:t>(3)</w:t>
      </w:r>
      <w:r>
        <w:rPr>
          <w:spacing w:val="-3"/>
          <w:w w:val="105"/>
          <w:sz w:val="20"/>
        </w:rPr>
        <w:t> </w:t>
      </w:r>
      <w:r>
        <w:rPr>
          <w:w w:val="105"/>
          <w:sz w:val="20"/>
        </w:rPr>
        <w:t>of</w:t>
      </w:r>
      <w:r>
        <w:rPr>
          <w:spacing w:val="-2"/>
          <w:w w:val="105"/>
          <w:sz w:val="20"/>
        </w:rPr>
        <w:t> </w:t>
      </w:r>
      <w:r>
        <w:rPr>
          <w:w w:val="105"/>
          <w:sz w:val="20"/>
        </w:rPr>
        <w:t>section</w:t>
      </w:r>
      <w:r>
        <w:rPr>
          <w:spacing w:val="-3"/>
          <w:w w:val="105"/>
          <w:sz w:val="20"/>
        </w:rPr>
        <w:t> </w:t>
      </w:r>
      <w:r>
        <w:rPr>
          <w:w w:val="105"/>
          <w:sz w:val="20"/>
        </w:rPr>
        <w:t>143</w:t>
      </w:r>
      <w:r>
        <w:rPr>
          <w:spacing w:val="-3"/>
          <w:w w:val="105"/>
          <w:sz w:val="20"/>
        </w:rPr>
        <w:t> </w:t>
      </w:r>
      <w:r>
        <w:rPr>
          <w:w w:val="105"/>
          <w:sz w:val="20"/>
        </w:rPr>
        <w:t>read</w:t>
      </w:r>
      <w:r>
        <w:rPr>
          <w:spacing w:val="-2"/>
          <w:w w:val="105"/>
          <w:sz w:val="20"/>
        </w:rPr>
        <w:t> </w:t>
      </w:r>
      <w:r>
        <w:rPr>
          <w:w w:val="105"/>
          <w:sz w:val="20"/>
        </w:rPr>
        <w:t>with</w:t>
      </w:r>
      <w:r>
        <w:rPr>
          <w:spacing w:val="-3"/>
          <w:w w:val="105"/>
          <w:sz w:val="20"/>
        </w:rPr>
        <w:t> </w:t>
      </w:r>
      <w:r>
        <w:rPr>
          <w:w w:val="105"/>
          <w:sz w:val="20"/>
        </w:rPr>
        <w:t>section 144A of the Income-tax Act, 1961, two copies of the directions issued under the said section 144A;</w:t>
      </w:r>
    </w:p>
    <w:p>
      <w:pPr>
        <w:pStyle w:val="ListParagraph"/>
        <w:numPr>
          <w:ilvl w:val="2"/>
          <w:numId w:val="1"/>
        </w:numPr>
        <w:tabs>
          <w:tab w:pos="1455" w:val="left" w:leader="none"/>
        </w:tabs>
        <w:spacing w:line="244" w:lineRule="auto" w:before="115" w:after="0"/>
        <w:ind w:left="1454" w:right="248" w:hanging="619"/>
        <w:jc w:val="both"/>
        <w:rPr>
          <w:sz w:val="20"/>
        </w:rPr>
      </w:pPr>
      <w:r>
        <w:rPr>
          <w:w w:val="105"/>
          <w:sz w:val="20"/>
        </w:rPr>
        <w:t>in the case of an appeal against an order under section 147 of the Income-tax Act, 1961, two copies of the original assessment order, if</w:t>
      </w:r>
      <w:r>
        <w:rPr>
          <w:spacing w:val="-10"/>
          <w:w w:val="105"/>
          <w:sz w:val="20"/>
        </w:rPr>
        <w:t> </w:t>
      </w:r>
      <w:r>
        <w:rPr>
          <w:w w:val="105"/>
          <w:sz w:val="20"/>
        </w:rPr>
        <w:t>any;</w:t>
      </w:r>
    </w:p>
    <w:p>
      <w:pPr>
        <w:pStyle w:val="ListParagraph"/>
        <w:numPr>
          <w:ilvl w:val="2"/>
          <w:numId w:val="1"/>
        </w:numPr>
        <w:tabs>
          <w:tab w:pos="1455" w:val="left" w:leader="none"/>
        </w:tabs>
        <w:spacing w:line="247" w:lineRule="auto" w:before="119" w:after="0"/>
        <w:ind w:left="1454" w:right="251" w:hanging="610"/>
        <w:jc w:val="both"/>
        <w:rPr>
          <w:sz w:val="20"/>
        </w:rPr>
      </w:pPr>
      <w:r>
        <w:rPr>
          <w:w w:val="105"/>
          <w:sz w:val="20"/>
        </w:rPr>
        <w:t>in</w:t>
      </w:r>
      <w:r>
        <w:rPr>
          <w:spacing w:val="-3"/>
          <w:w w:val="105"/>
          <w:sz w:val="20"/>
        </w:rPr>
        <w:t> </w:t>
      </w:r>
      <w:r>
        <w:rPr>
          <w:w w:val="105"/>
          <w:sz w:val="20"/>
        </w:rPr>
        <w:t>the</w:t>
      </w:r>
      <w:r>
        <w:rPr>
          <w:spacing w:val="-5"/>
          <w:w w:val="105"/>
          <w:sz w:val="20"/>
        </w:rPr>
        <w:t> </w:t>
      </w:r>
      <w:r>
        <w:rPr>
          <w:w w:val="105"/>
          <w:sz w:val="20"/>
        </w:rPr>
        <w:t>case</w:t>
      </w:r>
      <w:r>
        <w:rPr>
          <w:spacing w:val="-5"/>
          <w:w w:val="105"/>
          <w:sz w:val="20"/>
        </w:rPr>
        <w:t> </w:t>
      </w:r>
      <w:r>
        <w:rPr>
          <w:w w:val="105"/>
          <w:sz w:val="20"/>
        </w:rPr>
        <w:t>of</w:t>
      </w:r>
      <w:r>
        <w:rPr>
          <w:spacing w:val="-2"/>
          <w:w w:val="105"/>
          <w:sz w:val="20"/>
        </w:rPr>
        <w:t> </w:t>
      </w:r>
      <w:r>
        <w:rPr>
          <w:w w:val="105"/>
          <w:sz w:val="20"/>
        </w:rPr>
        <w:t>an</w:t>
      </w:r>
      <w:r>
        <w:rPr>
          <w:spacing w:val="-2"/>
          <w:w w:val="105"/>
          <w:sz w:val="20"/>
        </w:rPr>
        <w:t> </w:t>
      </w:r>
      <w:r>
        <w:rPr>
          <w:w w:val="105"/>
          <w:sz w:val="20"/>
        </w:rPr>
        <w:t>appeal against</w:t>
      </w:r>
      <w:r>
        <w:rPr>
          <w:spacing w:val="-3"/>
          <w:w w:val="105"/>
          <w:sz w:val="20"/>
        </w:rPr>
        <w:t> </w:t>
      </w:r>
      <w:r>
        <w:rPr>
          <w:w w:val="105"/>
          <w:sz w:val="20"/>
        </w:rPr>
        <w:t>an</w:t>
      </w:r>
      <w:r>
        <w:rPr>
          <w:spacing w:val="-2"/>
          <w:w w:val="105"/>
          <w:sz w:val="20"/>
        </w:rPr>
        <w:t> </w:t>
      </w:r>
      <w:r>
        <w:rPr>
          <w:w w:val="105"/>
          <w:sz w:val="20"/>
        </w:rPr>
        <w:t>assessment</w:t>
      </w:r>
      <w:r>
        <w:rPr>
          <w:spacing w:val="-3"/>
          <w:w w:val="105"/>
          <w:sz w:val="20"/>
        </w:rPr>
        <w:t> </w:t>
      </w:r>
      <w:r>
        <w:rPr>
          <w:w w:val="105"/>
          <w:sz w:val="20"/>
        </w:rPr>
        <w:t>order</w:t>
      </w:r>
      <w:r>
        <w:rPr>
          <w:spacing w:val="-4"/>
          <w:w w:val="105"/>
          <w:sz w:val="20"/>
        </w:rPr>
        <w:t> </w:t>
      </w:r>
      <w:r>
        <w:rPr>
          <w:w w:val="105"/>
          <w:sz w:val="20"/>
        </w:rPr>
        <w:t>made</w:t>
      </w:r>
      <w:r>
        <w:rPr>
          <w:spacing w:val="-3"/>
          <w:w w:val="105"/>
          <w:sz w:val="20"/>
        </w:rPr>
        <w:t> </w:t>
      </w:r>
      <w:r>
        <w:rPr>
          <w:w w:val="105"/>
          <w:sz w:val="20"/>
        </w:rPr>
        <w:t>in</w:t>
      </w:r>
      <w:r>
        <w:rPr>
          <w:spacing w:val="-5"/>
          <w:w w:val="105"/>
          <w:sz w:val="20"/>
        </w:rPr>
        <w:t> </w:t>
      </w:r>
      <w:r>
        <w:rPr>
          <w:w w:val="105"/>
          <w:sz w:val="20"/>
        </w:rPr>
        <w:t>pursuance</w:t>
      </w:r>
      <w:r>
        <w:rPr>
          <w:spacing w:val="-6"/>
          <w:w w:val="105"/>
          <w:sz w:val="20"/>
        </w:rPr>
        <w:t> </w:t>
      </w:r>
      <w:r>
        <w:rPr>
          <w:w w:val="105"/>
          <w:sz w:val="20"/>
        </w:rPr>
        <w:t>of</w:t>
      </w:r>
      <w:r>
        <w:rPr>
          <w:spacing w:val="-4"/>
          <w:w w:val="105"/>
          <w:sz w:val="20"/>
        </w:rPr>
        <w:t> </w:t>
      </w:r>
      <w:r>
        <w:rPr>
          <w:w w:val="105"/>
          <w:sz w:val="20"/>
        </w:rPr>
        <w:t>the</w:t>
      </w:r>
      <w:r>
        <w:rPr>
          <w:spacing w:val="-5"/>
          <w:w w:val="105"/>
          <w:sz w:val="20"/>
        </w:rPr>
        <w:t> </w:t>
      </w:r>
      <w:r>
        <w:rPr>
          <w:w w:val="105"/>
          <w:sz w:val="20"/>
        </w:rPr>
        <w:t>directions</w:t>
      </w:r>
      <w:r>
        <w:rPr>
          <w:spacing w:val="-6"/>
          <w:w w:val="105"/>
          <w:sz w:val="20"/>
        </w:rPr>
        <w:t> </w:t>
      </w:r>
      <w:r>
        <w:rPr>
          <w:w w:val="105"/>
          <w:sz w:val="20"/>
        </w:rPr>
        <w:t>of</w:t>
      </w:r>
      <w:r>
        <w:rPr>
          <w:spacing w:val="-1"/>
          <w:w w:val="105"/>
          <w:sz w:val="20"/>
        </w:rPr>
        <w:t> </w:t>
      </w:r>
      <w:r>
        <w:rPr>
          <w:w w:val="105"/>
          <w:sz w:val="20"/>
        </w:rPr>
        <w:t>the Dispute</w:t>
      </w:r>
      <w:r>
        <w:rPr>
          <w:spacing w:val="-4"/>
          <w:w w:val="105"/>
          <w:sz w:val="20"/>
        </w:rPr>
        <w:t> </w:t>
      </w:r>
      <w:r>
        <w:rPr>
          <w:w w:val="105"/>
          <w:sz w:val="20"/>
        </w:rPr>
        <w:t>Resolution</w:t>
      </w:r>
      <w:r>
        <w:rPr>
          <w:spacing w:val="-4"/>
          <w:w w:val="105"/>
          <w:sz w:val="20"/>
        </w:rPr>
        <w:t> </w:t>
      </w:r>
      <w:r>
        <w:rPr>
          <w:w w:val="105"/>
          <w:sz w:val="20"/>
        </w:rPr>
        <w:t>Panel,</w:t>
      </w:r>
      <w:r>
        <w:rPr>
          <w:spacing w:val="-5"/>
          <w:w w:val="105"/>
          <w:sz w:val="20"/>
        </w:rPr>
        <w:t> </w:t>
      </w:r>
      <w:r>
        <w:rPr>
          <w:w w:val="105"/>
          <w:sz w:val="20"/>
        </w:rPr>
        <w:t>the</w:t>
      </w:r>
      <w:r>
        <w:rPr>
          <w:spacing w:val="-7"/>
          <w:w w:val="105"/>
          <w:sz w:val="20"/>
        </w:rPr>
        <w:t> </w:t>
      </w:r>
      <w:r>
        <w:rPr>
          <w:w w:val="105"/>
          <w:sz w:val="20"/>
        </w:rPr>
        <w:t>copy</w:t>
      </w:r>
      <w:r>
        <w:rPr>
          <w:spacing w:val="-6"/>
          <w:w w:val="105"/>
          <w:sz w:val="20"/>
        </w:rPr>
        <w:t> </w:t>
      </w:r>
      <w:r>
        <w:rPr>
          <w:w w:val="105"/>
          <w:sz w:val="20"/>
        </w:rPr>
        <w:t>of</w:t>
      </w:r>
      <w:r>
        <w:rPr>
          <w:spacing w:val="-3"/>
          <w:w w:val="105"/>
          <w:sz w:val="20"/>
        </w:rPr>
        <w:t> </w:t>
      </w:r>
      <w:r>
        <w:rPr>
          <w:w w:val="105"/>
          <w:sz w:val="20"/>
        </w:rPr>
        <w:t>Directions</w:t>
      </w:r>
      <w:r>
        <w:rPr>
          <w:spacing w:val="-5"/>
          <w:w w:val="105"/>
          <w:sz w:val="20"/>
        </w:rPr>
        <w:t> </w:t>
      </w:r>
      <w:r>
        <w:rPr>
          <w:w w:val="105"/>
          <w:sz w:val="20"/>
        </w:rPr>
        <w:t>of</w:t>
      </w:r>
      <w:r>
        <w:rPr>
          <w:spacing w:val="-6"/>
          <w:w w:val="105"/>
          <w:sz w:val="20"/>
        </w:rPr>
        <w:t> </w:t>
      </w:r>
      <w:r>
        <w:rPr>
          <w:w w:val="105"/>
          <w:sz w:val="20"/>
        </w:rPr>
        <w:t>the</w:t>
      </w:r>
      <w:r>
        <w:rPr>
          <w:spacing w:val="-6"/>
          <w:w w:val="105"/>
          <w:sz w:val="20"/>
        </w:rPr>
        <w:t> </w:t>
      </w:r>
      <w:r>
        <w:rPr>
          <w:w w:val="105"/>
          <w:sz w:val="20"/>
        </w:rPr>
        <w:t>Dispute</w:t>
      </w:r>
      <w:r>
        <w:rPr>
          <w:spacing w:val="-7"/>
          <w:w w:val="105"/>
          <w:sz w:val="20"/>
        </w:rPr>
        <w:t> </w:t>
      </w:r>
      <w:r>
        <w:rPr>
          <w:w w:val="105"/>
          <w:sz w:val="20"/>
        </w:rPr>
        <w:t>Resolution</w:t>
      </w:r>
      <w:r>
        <w:rPr>
          <w:spacing w:val="-4"/>
          <w:w w:val="105"/>
          <w:sz w:val="20"/>
        </w:rPr>
        <w:t> </w:t>
      </w:r>
      <w:r>
        <w:rPr>
          <w:w w:val="105"/>
          <w:sz w:val="20"/>
        </w:rPr>
        <w:t>Panel.</w:t>
      </w:r>
    </w:p>
    <w:p>
      <w:pPr>
        <w:pStyle w:val="ListParagraph"/>
        <w:numPr>
          <w:ilvl w:val="1"/>
          <w:numId w:val="1"/>
        </w:numPr>
        <w:tabs>
          <w:tab w:pos="956" w:val="left" w:leader="none"/>
        </w:tabs>
        <w:spacing w:line="247" w:lineRule="auto" w:before="114" w:after="0"/>
        <w:ind w:left="976" w:right="247" w:hanging="425"/>
        <w:jc w:val="both"/>
        <w:rPr>
          <w:sz w:val="20"/>
        </w:rPr>
      </w:pPr>
      <w:r>
        <w:rPr>
          <w:w w:val="105"/>
          <w:sz w:val="20"/>
        </w:rPr>
        <w:t>two copies of the relevant order where an appeal is against an order passed by a Principal Chief Commissioner or Chief Commissioner or a Principal Director General or Director General or Principal Commissioner or Commissioner or Principal Director or</w:t>
      </w:r>
      <w:r>
        <w:rPr>
          <w:spacing w:val="-23"/>
          <w:w w:val="105"/>
          <w:sz w:val="20"/>
        </w:rPr>
        <w:t> </w:t>
      </w:r>
      <w:r>
        <w:rPr>
          <w:w w:val="105"/>
          <w:sz w:val="20"/>
        </w:rPr>
        <w:t>Director.</w:t>
      </w:r>
    </w:p>
    <w:p>
      <w:pPr>
        <w:pStyle w:val="ListParagraph"/>
        <w:numPr>
          <w:ilvl w:val="0"/>
          <w:numId w:val="1"/>
        </w:numPr>
        <w:tabs>
          <w:tab w:pos="665" w:val="left" w:leader="none"/>
        </w:tabs>
        <w:spacing w:line="247" w:lineRule="auto" w:before="115" w:after="0"/>
        <w:ind w:left="213" w:right="225" w:firstLine="0"/>
        <w:jc w:val="both"/>
        <w:rPr>
          <w:sz w:val="20"/>
        </w:rPr>
      </w:pPr>
      <w:r>
        <w:rPr/>
        <w:pict>
          <v:line style="position:absolute;mso-position-horizontal-relative:page;mso-position-vertical-relative:paragraph;z-index:-22768" from="276pt,22.938847pt" to="282.503452pt,22.938847pt" stroked="true" strokeweight=".326479pt" strokecolor="#000000">
            <v:stroke dashstyle="solid"/>
            <w10:wrap type="none"/>
          </v:line>
        </w:pict>
      </w:r>
      <w:r>
        <w:rPr>
          <w:w w:val="105"/>
          <w:sz w:val="20"/>
        </w:rPr>
        <w:t>(A) The memorandum of appeal by an assessee under sub-section (1) of section 253(1) of the Income- tax Act, 1961 shall be accompanied by a fee</w:t>
      </w:r>
      <w:r>
        <w:rPr>
          <w:spacing w:val="-16"/>
          <w:w w:val="105"/>
          <w:sz w:val="20"/>
        </w:rPr>
        <w:t> </w:t>
      </w:r>
      <w:r>
        <w:rPr>
          <w:w w:val="105"/>
          <w:sz w:val="20"/>
        </w:rPr>
        <w:t>of,</w:t>
      </w:r>
    </w:p>
    <w:p>
      <w:pPr>
        <w:pStyle w:val="ListParagraph"/>
        <w:numPr>
          <w:ilvl w:val="1"/>
          <w:numId w:val="1"/>
        </w:numPr>
        <w:tabs>
          <w:tab w:pos="1568" w:val="left" w:leader="none"/>
        </w:tabs>
        <w:spacing w:line="247" w:lineRule="auto" w:before="117" w:after="0"/>
        <w:ind w:left="1567" w:right="224" w:hanging="451"/>
        <w:jc w:val="both"/>
        <w:rPr>
          <w:sz w:val="20"/>
        </w:rPr>
      </w:pPr>
      <w:r>
        <w:rPr>
          <w:w w:val="105"/>
          <w:sz w:val="20"/>
        </w:rPr>
        <w:t>where the total income of the assessee as computed by the Assessing Officer, in the case to which</w:t>
      </w:r>
      <w:r>
        <w:rPr>
          <w:spacing w:val="-6"/>
          <w:w w:val="105"/>
          <w:sz w:val="20"/>
        </w:rPr>
        <w:t> </w:t>
      </w:r>
      <w:r>
        <w:rPr>
          <w:w w:val="105"/>
          <w:sz w:val="20"/>
        </w:rPr>
        <w:t>the</w:t>
      </w:r>
      <w:r>
        <w:rPr>
          <w:spacing w:val="-8"/>
          <w:w w:val="105"/>
          <w:sz w:val="20"/>
        </w:rPr>
        <w:t> </w:t>
      </w:r>
      <w:r>
        <w:rPr>
          <w:w w:val="105"/>
          <w:sz w:val="20"/>
        </w:rPr>
        <w:t>appeal</w:t>
      </w:r>
      <w:r>
        <w:rPr>
          <w:spacing w:val="-5"/>
          <w:w w:val="105"/>
          <w:sz w:val="20"/>
        </w:rPr>
        <w:t> </w:t>
      </w:r>
      <w:r>
        <w:rPr>
          <w:w w:val="105"/>
          <w:sz w:val="20"/>
        </w:rPr>
        <w:t>relates,</w:t>
      </w:r>
      <w:r>
        <w:rPr>
          <w:spacing w:val="-6"/>
          <w:w w:val="105"/>
          <w:sz w:val="20"/>
        </w:rPr>
        <w:t> </w:t>
      </w:r>
      <w:r>
        <w:rPr>
          <w:w w:val="105"/>
          <w:sz w:val="20"/>
        </w:rPr>
        <w:t>is</w:t>
      </w:r>
      <w:r>
        <w:rPr>
          <w:spacing w:val="-7"/>
          <w:w w:val="105"/>
          <w:sz w:val="20"/>
        </w:rPr>
        <w:t> </w:t>
      </w:r>
      <w:r>
        <w:rPr>
          <w:w w:val="105"/>
          <w:sz w:val="20"/>
        </w:rPr>
        <w:t>one</w:t>
      </w:r>
      <w:r>
        <w:rPr>
          <w:spacing w:val="-8"/>
          <w:w w:val="105"/>
          <w:sz w:val="20"/>
        </w:rPr>
        <w:t> </w:t>
      </w:r>
      <w:r>
        <w:rPr>
          <w:w w:val="105"/>
          <w:sz w:val="20"/>
        </w:rPr>
        <w:t>hundred</w:t>
      </w:r>
      <w:r>
        <w:rPr>
          <w:spacing w:val="-5"/>
          <w:w w:val="105"/>
          <w:sz w:val="20"/>
        </w:rPr>
        <w:t> </w:t>
      </w:r>
      <w:r>
        <w:rPr>
          <w:w w:val="105"/>
          <w:sz w:val="20"/>
        </w:rPr>
        <w:t>thousand</w:t>
      </w:r>
      <w:r>
        <w:rPr>
          <w:spacing w:val="-5"/>
          <w:w w:val="105"/>
          <w:sz w:val="20"/>
        </w:rPr>
        <w:t> </w:t>
      </w:r>
      <w:r>
        <w:rPr>
          <w:w w:val="105"/>
          <w:sz w:val="20"/>
        </w:rPr>
        <w:t>rupees</w:t>
      </w:r>
      <w:r>
        <w:rPr>
          <w:spacing w:val="-6"/>
          <w:w w:val="105"/>
          <w:sz w:val="20"/>
        </w:rPr>
        <w:t> </w:t>
      </w:r>
      <w:r>
        <w:rPr>
          <w:w w:val="105"/>
          <w:sz w:val="20"/>
        </w:rPr>
        <w:t>or</w:t>
      </w:r>
      <w:r>
        <w:rPr>
          <w:spacing w:val="-5"/>
          <w:w w:val="105"/>
          <w:sz w:val="20"/>
        </w:rPr>
        <w:t> </w:t>
      </w:r>
      <w:r>
        <w:rPr>
          <w:w w:val="105"/>
          <w:sz w:val="20"/>
        </w:rPr>
        <w:t>less,</w:t>
      </w:r>
      <w:r>
        <w:rPr>
          <w:spacing w:val="-4"/>
          <w:w w:val="105"/>
          <w:sz w:val="20"/>
        </w:rPr>
        <w:t> </w:t>
      </w:r>
      <w:r>
        <w:rPr>
          <w:w w:val="105"/>
          <w:sz w:val="20"/>
        </w:rPr>
        <w:t>five</w:t>
      </w:r>
      <w:r>
        <w:rPr>
          <w:spacing w:val="-8"/>
          <w:w w:val="105"/>
          <w:sz w:val="20"/>
        </w:rPr>
        <w:t> </w:t>
      </w:r>
      <w:r>
        <w:rPr>
          <w:w w:val="105"/>
          <w:sz w:val="20"/>
        </w:rPr>
        <w:t>hundred</w:t>
      </w:r>
      <w:r>
        <w:rPr>
          <w:spacing w:val="-5"/>
          <w:w w:val="105"/>
          <w:sz w:val="20"/>
        </w:rPr>
        <w:t> </w:t>
      </w:r>
      <w:r>
        <w:rPr>
          <w:w w:val="105"/>
          <w:sz w:val="20"/>
        </w:rPr>
        <w:t>rupees;</w:t>
      </w:r>
    </w:p>
    <w:p>
      <w:pPr>
        <w:pStyle w:val="ListParagraph"/>
        <w:numPr>
          <w:ilvl w:val="1"/>
          <w:numId w:val="1"/>
        </w:numPr>
        <w:tabs>
          <w:tab w:pos="1568" w:val="left" w:leader="none"/>
        </w:tabs>
        <w:spacing w:line="249" w:lineRule="auto" w:before="112" w:after="0"/>
        <w:ind w:left="1567" w:right="225" w:hanging="451"/>
        <w:jc w:val="both"/>
        <w:rPr>
          <w:sz w:val="20"/>
        </w:rPr>
      </w:pPr>
      <w:r>
        <w:rPr>
          <w:w w:val="105"/>
          <w:sz w:val="20"/>
        </w:rPr>
        <w:t>where</w:t>
      </w:r>
      <w:r>
        <w:rPr>
          <w:spacing w:val="-8"/>
          <w:w w:val="105"/>
          <w:sz w:val="20"/>
        </w:rPr>
        <w:t> </w:t>
      </w:r>
      <w:r>
        <w:rPr>
          <w:w w:val="105"/>
          <w:sz w:val="20"/>
        </w:rPr>
        <w:t>the</w:t>
      </w:r>
      <w:r>
        <w:rPr>
          <w:spacing w:val="-6"/>
          <w:w w:val="105"/>
          <w:sz w:val="20"/>
        </w:rPr>
        <w:t> </w:t>
      </w:r>
      <w:r>
        <w:rPr>
          <w:w w:val="105"/>
          <w:sz w:val="20"/>
        </w:rPr>
        <w:t>total</w:t>
      </w:r>
      <w:r>
        <w:rPr>
          <w:spacing w:val="-5"/>
          <w:w w:val="105"/>
          <w:sz w:val="20"/>
        </w:rPr>
        <w:t> </w:t>
      </w:r>
      <w:r>
        <w:rPr>
          <w:w w:val="105"/>
          <w:sz w:val="20"/>
        </w:rPr>
        <w:t>income</w:t>
      </w:r>
      <w:r>
        <w:rPr>
          <w:spacing w:val="-6"/>
          <w:w w:val="105"/>
          <w:sz w:val="20"/>
        </w:rPr>
        <w:t> </w:t>
      </w:r>
      <w:r>
        <w:rPr>
          <w:w w:val="105"/>
          <w:sz w:val="20"/>
        </w:rPr>
        <w:t>of</w:t>
      </w:r>
      <w:r>
        <w:rPr>
          <w:spacing w:val="-5"/>
          <w:w w:val="105"/>
          <w:sz w:val="20"/>
        </w:rPr>
        <w:t> </w:t>
      </w:r>
      <w:r>
        <w:rPr>
          <w:w w:val="105"/>
          <w:sz w:val="20"/>
        </w:rPr>
        <w:t>the</w:t>
      </w:r>
      <w:r>
        <w:rPr>
          <w:spacing w:val="-5"/>
          <w:w w:val="105"/>
          <w:sz w:val="20"/>
        </w:rPr>
        <w:t> </w:t>
      </w:r>
      <w:r>
        <w:rPr>
          <w:w w:val="105"/>
          <w:sz w:val="20"/>
        </w:rPr>
        <w:t>assessee,</w:t>
      </w:r>
      <w:r>
        <w:rPr>
          <w:spacing w:val="-3"/>
          <w:w w:val="105"/>
          <w:sz w:val="20"/>
        </w:rPr>
        <w:t> </w:t>
      </w:r>
      <w:r>
        <w:rPr>
          <w:w w:val="105"/>
          <w:sz w:val="20"/>
        </w:rPr>
        <w:t>computed</w:t>
      </w:r>
      <w:r>
        <w:rPr>
          <w:spacing w:val="-7"/>
          <w:w w:val="105"/>
          <w:sz w:val="20"/>
        </w:rPr>
        <w:t> </w:t>
      </w:r>
      <w:r>
        <w:rPr>
          <w:w w:val="105"/>
          <w:sz w:val="20"/>
        </w:rPr>
        <w:t>as</w:t>
      </w:r>
      <w:r>
        <w:rPr>
          <w:spacing w:val="-7"/>
          <w:w w:val="105"/>
          <w:sz w:val="20"/>
        </w:rPr>
        <w:t> </w:t>
      </w:r>
      <w:r>
        <w:rPr>
          <w:w w:val="105"/>
          <w:sz w:val="20"/>
        </w:rPr>
        <w:t>aforesaid,</w:t>
      </w:r>
      <w:r>
        <w:rPr>
          <w:spacing w:val="-7"/>
          <w:w w:val="105"/>
          <w:sz w:val="20"/>
        </w:rPr>
        <w:t> </w:t>
      </w:r>
      <w:r>
        <w:rPr>
          <w:w w:val="105"/>
          <w:sz w:val="20"/>
        </w:rPr>
        <w:t>in</w:t>
      </w:r>
      <w:r>
        <w:rPr>
          <w:spacing w:val="-5"/>
          <w:w w:val="105"/>
          <w:sz w:val="20"/>
        </w:rPr>
        <w:t> </w:t>
      </w:r>
      <w:r>
        <w:rPr>
          <w:w w:val="105"/>
          <w:sz w:val="20"/>
        </w:rPr>
        <w:t>the</w:t>
      </w:r>
      <w:r>
        <w:rPr>
          <w:spacing w:val="-6"/>
          <w:w w:val="105"/>
          <w:sz w:val="20"/>
        </w:rPr>
        <w:t> </w:t>
      </w:r>
      <w:r>
        <w:rPr>
          <w:w w:val="105"/>
          <w:sz w:val="20"/>
        </w:rPr>
        <w:t>case</w:t>
      </w:r>
      <w:r>
        <w:rPr>
          <w:spacing w:val="-4"/>
          <w:w w:val="105"/>
          <w:sz w:val="20"/>
        </w:rPr>
        <w:t> </w:t>
      </w:r>
      <w:r>
        <w:rPr>
          <w:w w:val="105"/>
          <w:sz w:val="20"/>
        </w:rPr>
        <w:t>to</w:t>
      </w:r>
      <w:r>
        <w:rPr>
          <w:spacing w:val="-6"/>
          <w:w w:val="105"/>
          <w:sz w:val="20"/>
        </w:rPr>
        <w:t> </w:t>
      </w:r>
      <w:r>
        <w:rPr>
          <w:w w:val="105"/>
          <w:sz w:val="20"/>
        </w:rPr>
        <w:t>which</w:t>
      </w:r>
      <w:r>
        <w:rPr>
          <w:spacing w:val="-6"/>
          <w:w w:val="105"/>
          <w:sz w:val="20"/>
        </w:rPr>
        <w:t> </w:t>
      </w:r>
      <w:r>
        <w:rPr>
          <w:w w:val="105"/>
          <w:sz w:val="20"/>
        </w:rPr>
        <w:t>the</w:t>
      </w:r>
      <w:r>
        <w:rPr>
          <w:spacing w:val="-7"/>
          <w:w w:val="105"/>
          <w:sz w:val="20"/>
        </w:rPr>
        <w:t> </w:t>
      </w:r>
      <w:r>
        <w:rPr>
          <w:w w:val="105"/>
          <w:sz w:val="20"/>
        </w:rPr>
        <w:t>appeal relates is more than one hundred thousand rupees but not more than two hundred thousand rupees, one thousand five hundred</w:t>
      </w:r>
      <w:r>
        <w:rPr>
          <w:spacing w:val="-13"/>
          <w:w w:val="105"/>
          <w:sz w:val="20"/>
        </w:rPr>
        <w:t> </w:t>
      </w:r>
      <w:r>
        <w:rPr>
          <w:w w:val="105"/>
          <w:sz w:val="20"/>
        </w:rPr>
        <w:t>rupees;</w:t>
      </w:r>
    </w:p>
    <w:p>
      <w:pPr>
        <w:pStyle w:val="ListParagraph"/>
        <w:numPr>
          <w:ilvl w:val="1"/>
          <w:numId w:val="1"/>
        </w:numPr>
        <w:tabs>
          <w:tab w:pos="1568" w:val="left" w:leader="none"/>
        </w:tabs>
        <w:spacing w:line="247" w:lineRule="auto" w:before="110" w:after="0"/>
        <w:ind w:left="1567" w:right="224" w:hanging="451"/>
        <w:jc w:val="both"/>
        <w:rPr>
          <w:sz w:val="20"/>
        </w:rPr>
      </w:pPr>
      <w:r>
        <w:rPr>
          <w:w w:val="105"/>
          <w:sz w:val="20"/>
        </w:rPr>
        <w:t>where</w:t>
      </w:r>
      <w:r>
        <w:rPr>
          <w:spacing w:val="-8"/>
          <w:w w:val="105"/>
          <w:sz w:val="20"/>
        </w:rPr>
        <w:t> </w:t>
      </w:r>
      <w:r>
        <w:rPr>
          <w:w w:val="105"/>
          <w:sz w:val="20"/>
        </w:rPr>
        <w:t>the</w:t>
      </w:r>
      <w:r>
        <w:rPr>
          <w:spacing w:val="-6"/>
          <w:w w:val="105"/>
          <w:sz w:val="20"/>
        </w:rPr>
        <w:t> </w:t>
      </w:r>
      <w:r>
        <w:rPr>
          <w:w w:val="105"/>
          <w:sz w:val="20"/>
        </w:rPr>
        <w:t>total</w:t>
      </w:r>
      <w:r>
        <w:rPr>
          <w:spacing w:val="-5"/>
          <w:w w:val="105"/>
          <w:sz w:val="20"/>
        </w:rPr>
        <w:t> </w:t>
      </w:r>
      <w:r>
        <w:rPr>
          <w:w w:val="105"/>
          <w:sz w:val="20"/>
        </w:rPr>
        <w:t>income</w:t>
      </w:r>
      <w:r>
        <w:rPr>
          <w:spacing w:val="-6"/>
          <w:w w:val="105"/>
          <w:sz w:val="20"/>
        </w:rPr>
        <w:t> </w:t>
      </w:r>
      <w:r>
        <w:rPr>
          <w:w w:val="105"/>
          <w:sz w:val="20"/>
        </w:rPr>
        <w:t>of</w:t>
      </w:r>
      <w:r>
        <w:rPr>
          <w:spacing w:val="-5"/>
          <w:w w:val="105"/>
          <w:sz w:val="20"/>
        </w:rPr>
        <w:t> </w:t>
      </w:r>
      <w:r>
        <w:rPr>
          <w:w w:val="105"/>
          <w:sz w:val="20"/>
        </w:rPr>
        <w:t>the</w:t>
      </w:r>
      <w:r>
        <w:rPr>
          <w:spacing w:val="-6"/>
          <w:w w:val="105"/>
          <w:sz w:val="20"/>
        </w:rPr>
        <w:t> </w:t>
      </w:r>
      <w:r>
        <w:rPr>
          <w:w w:val="105"/>
          <w:sz w:val="20"/>
        </w:rPr>
        <w:t>assessee,</w:t>
      </w:r>
      <w:r>
        <w:rPr>
          <w:spacing w:val="-2"/>
          <w:w w:val="105"/>
          <w:sz w:val="20"/>
        </w:rPr>
        <w:t> </w:t>
      </w:r>
      <w:r>
        <w:rPr>
          <w:w w:val="105"/>
          <w:sz w:val="20"/>
        </w:rPr>
        <w:t>computed</w:t>
      </w:r>
      <w:r>
        <w:rPr>
          <w:spacing w:val="-6"/>
          <w:w w:val="105"/>
          <w:sz w:val="20"/>
        </w:rPr>
        <w:t> </w:t>
      </w:r>
      <w:r>
        <w:rPr>
          <w:w w:val="105"/>
          <w:sz w:val="20"/>
        </w:rPr>
        <w:t>as</w:t>
      </w:r>
      <w:r>
        <w:rPr>
          <w:spacing w:val="-7"/>
          <w:w w:val="105"/>
          <w:sz w:val="20"/>
        </w:rPr>
        <w:t> </w:t>
      </w:r>
      <w:r>
        <w:rPr>
          <w:w w:val="105"/>
          <w:sz w:val="20"/>
        </w:rPr>
        <w:t>aforesaid,</w:t>
      </w:r>
      <w:r>
        <w:rPr>
          <w:spacing w:val="-7"/>
          <w:w w:val="105"/>
          <w:sz w:val="20"/>
        </w:rPr>
        <w:t> </w:t>
      </w:r>
      <w:r>
        <w:rPr>
          <w:w w:val="105"/>
          <w:sz w:val="20"/>
        </w:rPr>
        <w:t>in</w:t>
      </w:r>
      <w:r>
        <w:rPr>
          <w:spacing w:val="-6"/>
          <w:w w:val="105"/>
          <w:sz w:val="20"/>
        </w:rPr>
        <w:t> </w:t>
      </w:r>
      <w:r>
        <w:rPr>
          <w:w w:val="105"/>
          <w:sz w:val="20"/>
        </w:rPr>
        <w:t>the</w:t>
      </w:r>
      <w:r>
        <w:rPr>
          <w:spacing w:val="-6"/>
          <w:w w:val="105"/>
          <w:sz w:val="20"/>
        </w:rPr>
        <w:t> </w:t>
      </w:r>
      <w:r>
        <w:rPr>
          <w:w w:val="105"/>
          <w:sz w:val="20"/>
        </w:rPr>
        <w:t>case</w:t>
      </w:r>
      <w:r>
        <w:rPr>
          <w:spacing w:val="-4"/>
          <w:w w:val="105"/>
          <w:sz w:val="20"/>
        </w:rPr>
        <w:t> </w:t>
      </w:r>
      <w:r>
        <w:rPr>
          <w:w w:val="105"/>
          <w:sz w:val="20"/>
        </w:rPr>
        <w:t>to</w:t>
      </w:r>
      <w:r>
        <w:rPr>
          <w:spacing w:val="-6"/>
          <w:w w:val="105"/>
          <w:sz w:val="20"/>
        </w:rPr>
        <w:t> </w:t>
      </w:r>
      <w:r>
        <w:rPr>
          <w:w w:val="105"/>
          <w:sz w:val="20"/>
        </w:rPr>
        <w:t>which</w:t>
      </w:r>
      <w:r>
        <w:rPr>
          <w:spacing w:val="-6"/>
          <w:w w:val="105"/>
          <w:sz w:val="20"/>
        </w:rPr>
        <w:t> </w:t>
      </w:r>
      <w:r>
        <w:rPr>
          <w:w w:val="105"/>
          <w:sz w:val="20"/>
        </w:rPr>
        <w:t>the</w:t>
      </w:r>
      <w:r>
        <w:rPr>
          <w:spacing w:val="-7"/>
          <w:w w:val="105"/>
          <w:sz w:val="20"/>
        </w:rPr>
        <w:t> </w:t>
      </w:r>
      <w:r>
        <w:rPr>
          <w:w w:val="105"/>
          <w:sz w:val="20"/>
        </w:rPr>
        <w:t>appeal relates is more than two hundred thousand rupees, one per cent. of the assessed income, subject to a maximum of ten thousand</w:t>
      </w:r>
      <w:r>
        <w:rPr>
          <w:spacing w:val="-14"/>
          <w:w w:val="105"/>
          <w:sz w:val="20"/>
        </w:rPr>
        <w:t> </w:t>
      </w:r>
      <w:r>
        <w:rPr>
          <w:w w:val="105"/>
          <w:sz w:val="20"/>
        </w:rPr>
        <w:t>rupees;</w:t>
      </w:r>
    </w:p>
    <w:p>
      <w:pPr>
        <w:pStyle w:val="ListParagraph"/>
        <w:numPr>
          <w:ilvl w:val="1"/>
          <w:numId w:val="1"/>
        </w:numPr>
        <w:tabs>
          <w:tab w:pos="1568" w:val="left" w:leader="none"/>
        </w:tabs>
        <w:spacing w:line="247" w:lineRule="auto" w:before="115" w:after="0"/>
        <w:ind w:left="1567" w:right="223" w:hanging="451"/>
        <w:jc w:val="both"/>
        <w:rPr>
          <w:sz w:val="20"/>
        </w:rPr>
      </w:pPr>
      <w:r>
        <w:rPr>
          <w:w w:val="105"/>
          <w:sz w:val="20"/>
        </w:rPr>
        <w:t>where the subject matter of an appeal relates to any matter, other than those specified in clauses (a), (b) and (c), five hundred</w:t>
      </w:r>
      <w:r>
        <w:rPr>
          <w:spacing w:val="-17"/>
          <w:w w:val="105"/>
          <w:sz w:val="20"/>
        </w:rPr>
        <w:t> </w:t>
      </w:r>
      <w:r>
        <w:rPr>
          <w:w w:val="105"/>
          <w:sz w:val="20"/>
        </w:rPr>
        <w:t>rupees;</w:t>
      </w:r>
    </w:p>
    <w:p>
      <w:pPr>
        <w:pStyle w:val="ListParagraph"/>
        <w:numPr>
          <w:ilvl w:val="1"/>
          <w:numId w:val="1"/>
        </w:numPr>
        <w:tabs>
          <w:tab w:pos="1567" w:val="left" w:leader="none"/>
          <w:tab w:pos="1568" w:val="left" w:leader="none"/>
        </w:tabs>
        <w:spacing w:line="240" w:lineRule="auto" w:before="117" w:after="0"/>
        <w:ind w:left="1567" w:right="0" w:hanging="451"/>
        <w:jc w:val="left"/>
        <w:rPr>
          <w:sz w:val="20"/>
        </w:rPr>
      </w:pPr>
      <w:r>
        <w:rPr>
          <w:w w:val="105"/>
          <w:sz w:val="20"/>
        </w:rPr>
        <w:t>no</w:t>
      </w:r>
      <w:r>
        <w:rPr>
          <w:spacing w:val="-3"/>
          <w:w w:val="105"/>
          <w:sz w:val="20"/>
        </w:rPr>
        <w:t> </w:t>
      </w:r>
      <w:r>
        <w:rPr>
          <w:w w:val="105"/>
          <w:sz w:val="20"/>
        </w:rPr>
        <w:t>fee</w:t>
      </w:r>
      <w:r>
        <w:rPr>
          <w:spacing w:val="-5"/>
          <w:w w:val="105"/>
          <w:sz w:val="20"/>
        </w:rPr>
        <w:t> </w:t>
      </w:r>
      <w:r>
        <w:rPr>
          <w:w w:val="105"/>
          <w:sz w:val="20"/>
        </w:rPr>
        <w:t>shall</w:t>
      </w:r>
      <w:r>
        <w:rPr>
          <w:spacing w:val="-3"/>
          <w:w w:val="105"/>
          <w:sz w:val="20"/>
        </w:rPr>
        <w:t> </w:t>
      </w:r>
      <w:r>
        <w:rPr>
          <w:w w:val="105"/>
          <w:sz w:val="20"/>
        </w:rPr>
        <w:t>be</w:t>
      </w:r>
      <w:r>
        <w:rPr>
          <w:spacing w:val="-5"/>
          <w:w w:val="105"/>
          <w:sz w:val="20"/>
        </w:rPr>
        <w:t> </w:t>
      </w:r>
      <w:r>
        <w:rPr>
          <w:w w:val="105"/>
          <w:sz w:val="20"/>
        </w:rPr>
        <w:t>payable</w:t>
      </w:r>
      <w:r>
        <w:rPr>
          <w:spacing w:val="-6"/>
          <w:w w:val="105"/>
          <w:sz w:val="20"/>
        </w:rPr>
        <w:t> </w:t>
      </w:r>
      <w:r>
        <w:rPr>
          <w:w w:val="105"/>
          <w:sz w:val="20"/>
        </w:rPr>
        <w:t>in</w:t>
      </w:r>
      <w:r>
        <w:rPr>
          <w:spacing w:val="-2"/>
          <w:w w:val="105"/>
          <w:sz w:val="20"/>
        </w:rPr>
        <w:t> </w:t>
      </w:r>
      <w:r>
        <w:rPr>
          <w:w w:val="105"/>
          <w:sz w:val="20"/>
        </w:rPr>
        <w:t>the</w:t>
      </w:r>
      <w:r>
        <w:rPr>
          <w:spacing w:val="-3"/>
          <w:w w:val="105"/>
          <w:sz w:val="20"/>
        </w:rPr>
        <w:t> </w:t>
      </w:r>
      <w:r>
        <w:rPr>
          <w:w w:val="105"/>
          <w:sz w:val="20"/>
        </w:rPr>
        <w:t>case</w:t>
      </w:r>
      <w:r>
        <w:rPr>
          <w:spacing w:val="-2"/>
          <w:w w:val="105"/>
          <w:sz w:val="20"/>
        </w:rPr>
        <w:t> </w:t>
      </w:r>
      <w:r>
        <w:rPr>
          <w:w w:val="105"/>
          <w:sz w:val="20"/>
        </w:rPr>
        <w:t>of</w:t>
      </w:r>
      <w:r>
        <w:rPr>
          <w:spacing w:val="-2"/>
          <w:w w:val="105"/>
          <w:sz w:val="20"/>
        </w:rPr>
        <w:t> </w:t>
      </w:r>
      <w:r>
        <w:rPr>
          <w:w w:val="105"/>
          <w:sz w:val="20"/>
        </w:rPr>
        <w:t>a</w:t>
      </w:r>
      <w:r>
        <w:rPr>
          <w:spacing w:val="-5"/>
          <w:w w:val="105"/>
          <w:sz w:val="20"/>
        </w:rPr>
        <w:t> </w:t>
      </w:r>
      <w:r>
        <w:rPr>
          <w:w w:val="105"/>
          <w:sz w:val="20"/>
        </w:rPr>
        <w:t>memorandum</w:t>
      </w:r>
      <w:r>
        <w:rPr>
          <w:spacing w:val="-3"/>
          <w:w w:val="105"/>
          <w:sz w:val="20"/>
        </w:rPr>
        <w:t> </w:t>
      </w:r>
      <w:r>
        <w:rPr>
          <w:w w:val="105"/>
          <w:sz w:val="20"/>
        </w:rPr>
        <w:t>of</w:t>
      </w:r>
      <w:r>
        <w:rPr>
          <w:spacing w:val="-2"/>
          <w:w w:val="105"/>
          <w:sz w:val="20"/>
        </w:rPr>
        <w:t> </w:t>
      </w:r>
      <w:r>
        <w:rPr>
          <w:w w:val="105"/>
          <w:sz w:val="20"/>
        </w:rPr>
        <w:t>cross-objections;</w:t>
      </w:r>
    </w:p>
    <w:p>
      <w:pPr>
        <w:pStyle w:val="ListParagraph"/>
        <w:numPr>
          <w:ilvl w:val="1"/>
          <w:numId w:val="1"/>
        </w:numPr>
        <w:tabs>
          <w:tab w:pos="1567" w:val="left" w:leader="none"/>
          <w:tab w:pos="1568" w:val="left" w:leader="none"/>
        </w:tabs>
        <w:spacing w:line="240" w:lineRule="auto" w:before="118" w:after="0"/>
        <w:ind w:left="1567" w:right="0" w:hanging="451"/>
        <w:jc w:val="left"/>
        <w:rPr>
          <w:sz w:val="20"/>
        </w:rPr>
      </w:pPr>
      <w:r>
        <w:rPr>
          <w:w w:val="105"/>
          <w:sz w:val="20"/>
        </w:rPr>
        <w:t>an</w:t>
      </w:r>
      <w:r>
        <w:rPr>
          <w:spacing w:val="-8"/>
          <w:w w:val="105"/>
          <w:sz w:val="20"/>
        </w:rPr>
        <w:t> </w:t>
      </w:r>
      <w:r>
        <w:rPr>
          <w:w w:val="105"/>
          <w:sz w:val="20"/>
        </w:rPr>
        <w:t>application</w:t>
      </w:r>
      <w:r>
        <w:rPr>
          <w:spacing w:val="-4"/>
          <w:w w:val="105"/>
          <w:sz w:val="20"/>
        </w:rPr>
        <w:t> </w:t>
      </w:r>
      <w:r>
        <w:rPr>
          <w:w w:val="105"/>
          <w:sz w:val="20"/>
        </w:rPr>
        <w:t>for</w:t>
      </w:r>
      <w:r>
        <w:rPr>
          <w:spacing w:val="-7"/>
          <w:w w:val="105"/>
          <w:sz w:val="20"/>
        </w:rPr>
        <w:t> </w:t>
      </w:r>
      <w:r>
        <w:rPr>
          <w:w w:val="105"/>
          <w:sz w:val="20"/>
        </w:rPr>
        <w:t>stay</w:t>
      </w:r>
      <w:r>
        <w:rPr>
          <w:spacing w:val="-6"/>
          <w:w w:val="105"/>
          <w:sz w:val="20"/>
        </w:rPr>
        <w:t> </w:t>
      </w:r>
      <w:r>
        <w:rPr>
          <w:w w:val="105"/>
          <w:sz w:val="20"/>
        </w:rPr>
        <w:t>of</w:t>
      </w:r>
      <w:r>
        <w:rPr>
          <w:spacing w:val="-4"/>
          <w:w w:val="105"/>
          <w:sz w:val="20"/>
        </w:rPr>
        <w:t> </w:t>
      </w:r>
      <w:r>
        <w:rPr>
          <w:w w:val="105"/>
          <w:sz w:val="20"/>
        </w:rPr>
        <w:t>demand</w:t>
      </w:r>
      <w:r>
        <w:rPr>
          <w:spacing w:val="-4"/>
          <w:w w:val="105"/>
          <w:sz w:val="20"/>
        </w:rPr>
        <w:t> </w:t>
      </w:r>
      <w:r>
        <w:rPr>
          <w:w w:val="105"/>
          <w:sz w:val="20"/>
        </w:rPr>
        <w:t>shall</w:t>
      </w:r>
      <w:r>
        <w:rPr>
          <w:spacing w:val="-5"/>
          <w:w w:val="105"/>
          <w:sz w:val="20"/>
        </w:rPr>
        <w:t> </w:t>
      </w:r>
      <w:r>
        <w:rPr>
          <w:w w:val="105"/>
          <w:sz w:val="20"/>
        </w:rPr>
        <w:t>be</w:t>
      </w:r>
      <w:r>
        <w:rPr>
          <w:spacing w:val="-5"/>
          <w:w w:val="105"/>
          <w:sz w:val="20"/>
        </w:rPr>
        <w:t> </w:t>
      </w:r>
      <w:r>
        <w:rPr>
          <w:w w:val="105"/>
          <w:sz w:val="20"/>
        </w:rPr>
        <w:t>accompanied</w:t>
      </w:r>
      <w:r>
        <w:rPr>
          <w:spacing w:val="-4"/>
          <w:w w:val="105"/>
          <w:sz w:val="20"/>
        </w:rPr>
        <w:t> </w:t>
      </w:r>
      <w:r>
        <w:rPr>
          <w:w w:val="105"/>
          <w:sz w:val="20"/>
        </w:rPr>
        <w:t>by</w:t>
      </w:r>
      <w:r>
        <w:rPr>
          <w:spacing w:val="-7"/>
          <w:w w:val="105"/>
          <w:sz w:val="20"/>
        </w:rPr>
        <w:t> </w:t>
      </w:r>
      <w:r>
        <w:rPr>
          <w:w w:val="105"/>
          <w:sz w:val="20"/>
        </w:rPr>
        <w:t>a</w:t>
      </w:r>
      <w:r>
        <w:rPr>
          <w:spacing w:val="-5"/>
          <w:w w:val="105"/>
          <w:sz w:val="20"/>
        </w:rPr>
        <w:t> </w:t>
      </w:r>
      <w:r>
        <w:rPr>
          <w:w w:val="105"/>
          <w:sz w:val="20"/>
        </w:rPr>
        <w:t>fee</w:t>
      </w:r>
      <w:r>
        <w:rPr>
          <w:spacing w:val="-7"/>
          <w:w w:val="105"/>
          <w:sz w:val="20"/>
        </w:rPr>
        <w:t> </w:t>
      </w:r>
      <w:r>
        <w:rPr>
          <w:w w:val="105"/>
          <w:sz w:val="20"/>
        </w:rPr>
        <w:t>of</w:t>
      </w:r>
      <w:r>
        <w:rPr>
          <w:spacing w:val="-7"/>
          <w:w w:val="105"/>
          <w:sz w:val="20"/>
        </w:rPr>
        <w:t> </w:t>
      </w:r>
      <w:r>
        <w:rPr>
          <w:w w:val="105"/>
          <w:sz w:val="20"/>
        </w:rPr>
        <w:t>five</w:t>
      </w:r>
      <w:r>
        <w:rPr>
          <w:spacing w:val="-4"/>
          <w:w w:val="105"/>
          <w:sz w:val="20"/>
        </w:rPr>
        <w:t> </w:t>
      </w:r>
      <w:r>
        <w:rPr>
          <w:w w:val="105"/>
          <w:sz w:val="20"/>
        </w:rPr>
        <w:t>hundred</w:t>
      </w:r>
      <w:r>
        <w:rPr>
          <w:spacing w:val="-5"/>
          <w:w w:val="105"/>
          <w:sz w:val="20"/>
        </w:rPr>
        <w:t> </w:t>
      </w:r>
      <w:r>
        <w:rPr>
          <w:w w:val="105"/>
          <w:sz w:val="20"/>
        </w:rPr>
        <w:t>rupees.</w:t>
      </w:r>
    </w:p>
    <w:p>
      <w:pPr>
        <w:pStyle w:val="ListParagraph"/>
        <w:numPr>
          <w:ilvl w:val="0"/>
          <w:numId w:val="2"/>
        </w:numPr>
        <w:tabs>
          <w:tab w:pos="1052" w:val="left" w:leader="none"/>
        </w:tabs>
        <w:spacing w:line="247" w:lineRule="auto" w:before="120" w:after="0"/>
        <w:ind w:left="213" w:right="221" w:firstLine="504"/>
        <w:jc w:val="both"/>
        <w:rPr>
          <w:sz w:val="20"/>
        </w:rPr>
      </w:pPr>
      <w:r>
        <w:rPr>
          <w:w w:val="105"/>
          <w:sz w:val="20"/>
        </w:rPr>
        <w:t>The</w:t>
      </w:r>
      <w:r>
        <w:rPr>
          <w:spacing w:val="-5"/>
          <w:w w:val="105"/>
          <w:sz w:val="20"/>
        </w:rPr>
        <w:t> </w:t>
      </w:r>
      <w:r>
        <w:rPr>
          <w:w w:val="105"/>
          <w:sz w:val="20"/>
        </w:rPr>
        <w:t>fee</w:t>
      </w:r>
      <w:r>
        <w:rPr>
          <w:spacing w:val="-5"/>
          <w:w w:val="105"/>
          <w:sz w:val="20"/>
        </w:rPr>
        <w:t> </w:t>
      </w:r>
      <w:r>
        <w:rPr>
          <w:w w:val="105"/>
          <w:sz w:val="20"/>
        </w:rPr>
        <w:t>may</w:t>
      </w:r>
      <w:r>
        <w:rPr>
          <w:spacing w:val="-5"/>
          <w:w w:val="105"/>
          <w:sz w:val="20"/>
        </w:rPr>
        <w:t> </w:t>
      </w:r>
      <w:r>
        <w:rPr>
          <w:w w:val="105"/>
          <w:sz w:val="20"/>
        </w:rPr>
        <w:t>be</w:t>
      </w:r>
      <w:r>
        <w:rPr>
          <w:spacing w:val="-5"/>
          <w:w w:val="105"/>
          <w:sz w:val="20"/>
        </w:rPr>
        <w:t> </w:t>
      </w:r>
      <w:r>
        <w:rPr>
          <w:w w:val="105"/>
          <w:sz w:val="20"/>
        </w:rPr>
        <w:t>credited</w:t>
      </w:r>
      <w:r>
        <w:rPr>
          <w:spacing w:val="-3"/>
          <w:w w:val="105"/>
          <w:sz w:val="20"/>
        </w:rPr>
        <w:t> </w:t>
      </w:r>
      <w:r>
        <w:rPr>
          <w:w w:val="105"/>
          <w:sz w:val="20"/>
        </w:rPr>
        <w:t>in</w:t>
      </w:r>
      <w:r>
        <w:rPr>
          <w:spacing w:val="-5"/>
          <w:w w:val="105"/>
          <w:sz w:val="20"/>
        </w:rPr>
        <w:t> </w:t>
      </w:r>
      <w:r>
        <w:rPr>
          <w:w w:val="105"/>
          <w:sz w:val="20"/>
        </w:rPr>
        <w:t>a</w:t>
      </w:r>
      <w:r>
        <w:rPr>
          <w:spacing w:val="-5"/>
          <w:w w:val="105"/>
          <w:sz w:val="20"/>
        </w:rPr>
        <w:t> </w:t>
      </w:r>
      <w:r>
        <w:rPr>
          <w:w w:val="105"/>
          <w:sz w:val="20"/>
        </w:rPr>
        <w:t>branch</w:t>
      </w:r>
      <w:r>
        <w:rPr>
          <w:spacing w:val="-2"/>
          <w:w w:val="105"/>
          <w:sz w:val="20"/>
        </w:rPr>
        <w:t> </w:t>
      </w:r>
      <w:r>
        <w:rPr>
          <w:w w:val="105"/>
          <w:sz w:val="20"/>
        </w:rPr>
        <w:t>of</w:t>
      </w:r>
      <w:r>
        <w:rPr>
          <w:spacing w:val="-4"/>
          <w:w w:val="105"/>
          <w:sz w:val="20"/>
        </w:rPr>
        <w:t> </w:t>
      </w:r>
      <w:r>
        <w:rPr>
          <w:w w:val="105"/>
          <w:sz w:val="20"/>
        </w:rPr>
        <w:t>the</w:t>
      </w:r>
      <w:r>
        <w:rPr>
          <w:spacing w:val="-5"/>
          <w:w w:val="105"/>
          <w:sz w:val="20"/>
        </w:rPr>
        <w:t> </w:t>
      </w:r>
      <w:r>
        <w:rPr>
          <w:w w:val="105"/>
          <w:sz w:val="20"/>
        </w:rPr>
        <w:t>authorised</w:t>
      </w:r>
      <w:r>
        <w:rPr>
          <w:spacing w:val="-2"/>
          <w:w w:val="105"/>
          <w:sz w:val="20"/>
        </w:rPr>
        <w:t> </w:t>
      </w:r>
      <w:r>
        <w:rPr>
          <w:w w:val="105"/>
          <w:sz w:val="20"/>
        </w:rPr>
        <w:t>bank</w:t>
      </w:r>
      <w:r>
        <w:rPr>
          <w:spacing w:val="-3"/>
          <w:w w:val="105"/>
          <w:sz w:val="20"/>
        </w:rPr>
        <w:t> </w:t>
      </w:r>
      <w:r>
        <w:rPr>
          <w:w w:val="105"/>
          <w:sz w:val="20"/>
        </w:rPr>
        <w:t>or</w:t>
      </w:r>
      <w:r>
        <w:rPr>
          <w:spacing w:val="-1"/>
          <w:w w:val="105"/>
          <w:sz w:val="20"/>
        </w:rPr>
        <w:t> </w:t>
      </w:r>
      <w:r>
        <w:rPr>
          <w:w w:val="105"/>
          <w:sz w:val="20"/>
        </w:rPr>
        <w:t>a</w:t>
      </w:r>
      <w:r>
        <w:rPr>
          <w:spacing w:val="-5"/>
          <w:w w:val="105"/>
          <w:sz w:val="20"/>
        </w:rPr>
        <w:t> </w:t>
      </w:r>
      <w:r>
        <w:rPr>
          <w:w w:val="105"/>
          <w:sz w:val="20"/>
        </w:rPr>
        <w:t>branch</w:t>
      </w:r>
      <w:r>
        <w:rPr>
          <w:spacing w:val="-2"/>
          <w:w w:val="105"/>
          <w:sz w:val="20"/>
        </w:rPr>
        <w:t> </w:t>
      </w:r>
      <w:r>
        <w:rPr>
          <w:w w:val="105"/>
          <w:sz w:val="20"/>
        </w:rPr>
        <w:t>of</w:t>
      </w:r>
      <w:r>
        <w:rPr>
          <w:spacing w:val="-4"/>
          <w:w w:val="105"/>
          <w:sz w:val="20"/>
        </w:rPr>
        <w:t> </w:t>
      </w:r>
      <w:r>
        <w:rPr>
          <w:w w:val="105"/>
          <w:sz w:val="20"/>
        </w:rPr>
        <w:t>the</w:t>
      </w:r>
      <w:r>
        <w:rPr>
          <w:spacing w:val="-7"/>
          <w:w w:val="105"/>
          <w:sz w:val="20"/>
        </w:rPr>
        <w:t> </w:t>
      </w:r>
      <w:r>
        <w:rPr>
          <w:w w:val="105"/>
          <w:sz w:val="20"/>
        </w:rPr>
        <w:t>State</w:t>
      </w:r>
      <w:r>
        <w:rPr>
          <w:spacing w:val="-5"/>
          <w:w w:val="105"/>
          <w:sz w:val="20"/>
        </w:rPr>
        <w:t> </w:t>
      </w:r>
      <w:r>
        <w:rPr>
          <w:w w:val="105"/>
          <w:sz w:val="20"/>
        </w:rPr>
        <w:t>Bank</w:t>
      </w:r>
      <w:r>
        <w:rPr>
          <w:spacing w:val="-2"/>
          <w:w w:val="105"/>
          <w:sz w:val="20"/>
        </w:rPr>
        <w:t> </w:t>
      </w:r>
      <w:r>
        <w:rPr>
          <w:w w:val="105"/>
          <w:sz w:val="20"/>
        </w:rPr>
        <w:t>of</w:t>
      </w:r>
      <w:r>
        <w:rPr>
          <w:spacing w:val="-4"/>
          <w:w w:val="105"/>
          <w:sz w:val="20"/>
        </w:rPr>
        <w:t> </w:t>
      </w:r>
      <w:r>
        <w:rPr>
          <w:w w:val="105"/>
          <w:sz w:val="20"/>
        </w:rPr>
        <w:t>India</w:t>
      </w:r>
      <w:r>
        <w:rPr>
          <w:spacing w:val="-5"/>
          <w:w w:val="105"/>
          <w:sz w:val="20"/>
        </w:rPr>
        <w:t> </w:t>
      </w:r>
      <w:r>
        <w:rPr>
          <w:w w:val="105"/>
          <w:sz w:val="20"/>
        </w:rPr>
        <w:t>or a branch of the Reserve Bank of India after obtaining a challan and the copy of the challan in triplicate shall be sent to the Appellate Tribunal with the memorandum of</w:t>
      </w:r>
      <w:r>
        <w:rPr>
          <w:spacing w:val="-33"/>
          <w:w w:val="105"/>
          <w:sz w:val="20"/>
        </w:rPr>
        <w:t> </w:t>
      </w:r>
      <w:r>
        <w:rPr>
          <w:w w:val="105"/>
          <w:sz w:val="20"/>
        </w:rPr>
        <w:t>appeal.</w:t>
      </w:r>
    </w:p>
    <w:p>
      <w:pPr>
        <w:pStyle w:val="ListParagraph"/>
        <w:numPr>
          <w:ilvl w:val="0"/>
          <w:numId w:val="2"/>
        </w:numPr>
        <w:tabs>
          <w:tab w:pos="1004" w:val="left" w:leader="none"/>
        </w:tabs>
        <w:spacing w:line="247" w:lineRule="auto" w:before="117" w:after="0"/>
        <w:ind w:left="213" w:right="221" w:firstLine="451"/>
        <w:jc w:val="both"/>
        <w:rPr>
          <w:sz w:val="20"/>
        </w:rPr>
      </w:pPr>
      <w:r>
        <w:rPr>
          <w:w w:val="105"/>
          <w:sz w:val="20"/>
        </w:rPr>
        <w:t>The Appellate Tribunal shall not accept cheques, drafts, hundies or other negotiable instruments for the purpose of payment of the</w:t>
      </w:r>
      <w:r>
        <w:rPr>
          <w:spacing w:val="-13"/>
          <w:w w:val="105"/>
          <w:sz w:val="20"/>
        </w:rPr>
        <w:t> </w:t>
      </w:r>
      <w:r>
        <w:rPr>
          <w:w w:val="105"/>
          <w:sz w:val="20"/>
        </w:rPr>
        <w:t>fee.</w:t>
      </w:r>
    </w:p>
    <w:p>
      <w:pPr>
        <w:pStyle w:val="ListParagraph"/>
        <w:numPr>
          <w:ilvl w:val="0"/>
          <w:numId w:val="1"/>
        </w:numPr>
        <w:tabs>
          <w:tab w:pos="665" w:val="left" w:leader="none"/>
        </w:tabs>
        <w:spacing w:line="249" w:lineRule="auto" w:before="112" w:after="0"/>
        <w:ind w:left="213" w:right="221" w:firstLine="0"/>
        <w:jc w:val="both"/>
        <w:rPr>
          <w:sz w:val="20"/>
        </w:rPr>
      </w:pPr>
      <w:r>
        <w:rPr>
          <w:w w:val="105"/>
          <w:sz w:val="20"/>
        </w:rPr>
        <w:t>The</w:t>
      </w:r>
      <w:r>
        <w:rPr>
          <w:spacing w:val="-8"/>
          <w:w w:val="105"/>
          <w:sz w:val="20"/>
        </w:rPr>
        <w:t> </w:t>
      </w:r>
      <w:r>
        <w:rPr>
          <w:w w:val="105"/>
          <w:sz w:val="20"/>
        </w:rPr>
        <w:t>memorandum</w:t>
      </w:r>
      <w:r>
        <w:rPr>
          <w:spacing w:val="-8"/>
          <w:w w:val="105"/>
          <w:sz w:val="20"/>
        </w:rPr>
        <w:t> </w:t>
      </w:r>
      <w:r>
        <w:rPr>
          <w:w w:val="105"/>
          <w:sz w:val="20"/>
        </w:rPr>
        <w:t>of</w:t>
      </w:r>
      <w:r>
        <w:rPr>
          <w:spacing w:val="-5"/>
          <w:w w:val="105"/>
          <w:sz w:val="20"/>
        </w:rPr>
        <w:t> </w:t>
      </w:r>
      <w:r>
        <w:rPr>
          <w:w w:val="105"/>
          <w:sz w:val="20"/>
        </w:rPr>
        <w:t>appeal</w:t>
      </w:r>
      <w:r>
        <w:rPr>
          <w:spacing w:val="-5"/>
          <w:w w:val="105"/>
          <w:sz w:val="20"/>
        </w:rPr>
        <w:t> </w:t>
      </w:r>
      <w:r>
        <w:rPr>
          <w:w w:val="105"/>
          <w:sz w:val="20"/>
        </w:rPr>
        <w:t>shall</w:t>
      </w:r>
      <w:r>
        <w:rPr>
          <w:spacing w:val="-5"/>
          <w:w w:val="105"/>
          <w:sz w:val="20"/>
        </w:rPr>
        <w:t> </w:t>
      </w:r>
      <w:r>
        <w:rPr>
          <w:w w:val="105"/>
          <w:sz w:val="20"/>
        </w:rPr>
        <w:t>be</w:t>
      </w:r>
      <w:r>
        <w:rPr>
          <w:spacing w:val="-8"/>
          <w:w w:val="105"/>
          <w:sz w:val="20"/>
        </w:rPr>
        <w:t> </w:t>
      </w:r>
      <w:r>
        <w:rPr>
          <w:w w:val="105"/>
          <w:sz w:val="20"/>
        </w:rPr>
        <w:t>written</w:t>
      </w:r>
      <w:r>
        <w:rPr>
          <w:spacing w:val="-6"/>
          <w:w w:val="105"/>
          <w:sz w:val="20"/>
        </w:rPr>
        <w:t> </w:t>
      </w:r>
      <w:r>
        <w:rPr>
          <w:w w:val="105"/>
          <w:sz w:val="20"/>
        </w:rPr>
        <w:t>in</w:t>
      </w:r>
      <w:r>
        <w:rPr>
          <w:spacing w:val="-7"/>
          <w:w w:val="105"/>
          <w:sz w:val="20"/>
        </w:rPr>
        <w:t> </w:t>
      </w:r>
      <w:r>
        <w:rPr>
          <w:w w:val="105"/>
          <w:sz w:val="20"/>
        </w:rPr>
        <w:t>English</w:t>
      </w:r>
      <w:r>
        <w:rPr>
          <w:spacing w:val="-8"/>
          <w:w w:val="105"/>
          <w:sz w:val="20"/>
        </w:rPr>
        <w:t> </w:t>
      </w:r>
      <w:r>
        <w:rPr>
          <w:w w:val="105"/>
          <w:sz w:val="20"/>
        </w:rPr>
        <w:t>or,</w:t>
      </w:r>
      <w:r>
        <w:rPr>
          <w:spacing w:val="-7"/>
          <w:w w:val="105"/>
          <w:sz w:val="20"/>
        </w:rPr>
        <w:t> </w:t>
      </w:r>
      <w:r>
        <w:rPr>
          <w:w w:val="105"/>
          <w:sz w:val="20"/>
        </w:rPr>
        <w:t>if</w:t>
      </w:r>
      <w:r>
        <w:rPr>
          <w:spacing w:val="-6"/>
          <w:w w:val="105"/>
          <w:sz w:val="20"/>
        </w:rPr>
        <w:t> </w:t>
      </w:r>
      <w:r>
        <w:rPr>
          <w:w w:val="105"/>
          <w:sz w:val="20"/>
        </w:rPr>
        <w:t>the</w:t>
      </w:r>
      <w:r>
        <w:rPr>
          <w:spacing w:val="-6"/>
          <w:w w:val="105"/>
          <w:sz w:val="20"/>
        </w:rPr>
        <w:t> </w:t>
      </w:r>
      <w:r>
        <w:rPr>
          <w:w w:val="105"/>
          <w:sz w:val="20"/>
        </w:rPr>
        <w:t>appeal</w:t>
      </w:r>
      <w:r>
        <w:rPr>
          <w:spacing w:val="-5"/>
          <w:w w:val="105"/>
          <w:sz w:val="20"/>
        </w:rPr>
        <w:t> </w:t>
      </w:r>
      <w:r>
        <w:rPr>
          <w:w w:val="105"/>
          <w:sz w:val="20"/>
        </w:rPr>
        <w:t>is</w:t>
      </w:r>
      <w:r>
        <w:rPr>
          <w:spacing w:val="-7"/>
          <w:w w:val="105"/>
          <w:sz w:val="20"/>
        </w:rPr>
        <w:t> </w:t>
      </w:r>
      <w:r>
        <w:rPr>
          <w:w w:val="105"/>
          <w:sz w:val="20"/>
        </w:rPr>
        <w:t>filed</w:t>
      </w:r>
      <w:r>
        <w:rPr>
          <w:spacing w:val="-6"/>
          <w:w w:val="105"/>
          <w:sz w:val="20"/>
        </w:rPr>
        <w:t> </w:t>
      </w:r>
      <w:r>
        <w:rPr>
          <w:w w:val="105"/>
          <w:sz w:val="20"/>
        </w:rPr>
        <w:t>in</w:t>
      </w:r>
      <w:r>
        <w:rPr>
          <w:spacing w:val="-8"/>
          <w:w w:val="105"/>
          <w:sz w:val="20"/>
        </w:rPr>
        <w:t> </w:t>
      </w:r>
      <w:r>
        <w:rPr>
          <w:w w:val="105"/>
          <w:sz w:val="20"/>
        </w:rPr>
        <w:t>a</w:t>
      </w:r>
      <w:r>
        <w:rPr>
          <w:spacing w:val="-8"/>
          <w:w w:val="105"/>
          <w:sz w:val="20"/>
        </w:rPr>
        <w:t> </w:t>
      </w:r>
      <w:r>
        <w:rPr>
          <w:w w:val="105"/>
          <w:sz w:val="20"/>
        </w:rPr>
        <w:t>Bench</w:t>
      </w:r>
      <w:r>
        <w:rPr>
          <w:spacing w:val="-7"/>
          <w:w w:val="105"/>
          <w:sz w:val="20"/>
        </w:rPr>
        <w:t> </w:t>
      </w:r>
      <w:r>
        <w:rPr>
          <w:w w:val="105"/>
          <w:sz w:val="20"/>
        </w:rPr>
        <w:t>located</w:t>
      </w:r>
      <w:r>
        <w:rPr>
          <w:spacing w:val="-6"/>
          <w:w w:val="105"/>
          <w:sz w:val="20"/>
        </w:rPr>
        <w:t> </w:t>
      </w:r>
      <w:r>
        <w:rPr>
          <w:w w:val="105"/>
          <w:sz w:val="20"/>
        </w:rPr>
        <w:t>in</w:t>
      </w:r>
      <w:r>
        <w:rPr>
          <w:spacing w:val="-6"/>
          <w:w w:val="105"/>
          <w:sz w:val="20"/>
        </w:rPr>
        <w:t> </w:t>
      </w:r>
      <w:r>
        <w:rPr>
          <w:w w:val="105"/>
          <w:sz w:val="20"/>
        </w:rPr>
        <w:t>any State notified by the President of the Appellate Tribunal for the purposes of rule 5A of the Income-tax (Appellate Tribunal) Rules, 1963, then, at the option of the appellant, in Hindi, and shall </w:t>
      </w:r>
      <w:r>
        <w:rPr>
          <w:spacing w:val="-2"/>
          <w:w w:val="105"/>
          <w:sz w:val="20"/>
        </w:rPr>
        <w:t>set </w:t>
      </w:r>
      <w:r>
        <w:rPr>
          <w:w w:val="105"/>
          <w:sz w:val="20"/>
        </w:rPr>
        <w:t>forth, concisely and</w:t>
      </w:r>
      <w:r>
        <w:rPr>
          <w:spacing w:val="-8"/>
          <w:w w:val="105"/>
          <w:sz w:val="20"/>
        </w:rPr>
        <w:t> </w:t>
      </w:r>
      <w:r>
        <w:rPr>
          <w:w w:val="105"/>
          <w:sz w:val="20"/>
        </w:rPr>
        <w:t>under</w:t>
      </w:r>
      <w:r>
        <w:rPr>
          <w:spacing w:val="-7"/>
          <w:w w:val="105"/>
          <w:sz w:val="20"/>
        </w:rPr>
        <w:t> </w:t>
      </w:r>
      <w:r>
        <w:rPr>
          <w:w w:val="105"/>
          <w:sz w:val="20"/>
        </w:rPr>
        <w:t>distinct</w:t>
      </w:r>
      <w:r>
        <w:rPr>
          <w:spacing w:val="-7"/>
          <w:w w:val="105"/>
          <w:sz w:val="20"/>
        </w:rPr>
        <w:t> </w:t>
      </w:r>
      <w:r>
        <w:rPr>
          <w:w w:val="105"/>
          <w:sz w:val="20"/>
        </w:rPr>
        <w:t>heads,</w:t>
      </w:r>
      <w:r>
        <w:rPr>
          <w:spacing w:val="-8"/>
          <w:w w:val="105"/>
          <w:sz w:val="20"/>
        </w:rPr>
        <w:t> </w:t>
      </w:r>
      <w:r>
        <w:rPr>
          <w:w w:val="105"/>
          <w:sz w:val="20"/>
        </w:rPr>
        <w:t>the</w:t>
      </w:r>
      <w:r>
        <w:rPr>
          <w:spacing w:val="-7"/>
          <w:w w:val="105"/>
          <w:sz w:val="20"/>
        </w:rPr>
        <w:t> </w:t>
      </w:r>
      <w:r>
        <w:rPr>
          <w:w w:val="105"/>
          <w:sz w:val="20"/>
        </w:rPr>
        <w:t>grounds</w:t>
      </w:r>
      <w:r>
        <w:rPr>
          <w:spacing w:val="-10"/>
          <w:w w:val="105"/>
          <w:sz w:val="20"/>
        </w:rPr>
        <w:t> </w:t>
      </w:r>
      <w:r>
        <w:rPr>
          <w:w w:val="105"/>
          <w:sz w:val="20"/>
        </w:rPr>
        <w:t>of</w:t>
      </w:r>
      <w:r>
        <w:rPr>
          <w:spacing w:val="-8"/>
          <w:w w:val="105"/>
          <w:sz w:val="20"/>
        </w:rPr>
        <w:t> </w:t>
      </w:r>
      <w:r>
        <w:rPr>
          <w:w w:val="105"/>
          <w:sz w:val="20"/>
        </w:rPr>
        <w:t>appeal</w:t>
      </w:r>
      <w:r>
        <w:rPr>
          <w:spacing w:val="-7"/>
          <w:w w:val="105"/>
          <w:sz w:val="20"/>
        </w:rPr>
        <w:t> </w:t>
      </w:r>
      <w:r>
        <w:rPr>
          <w:w w:val="105"/>
          <w:sz w:val="20"/>
        </w:rPr>
        <w:t>without</w:t>
      </w:r>
      <w:r>
        <w:rPr>
          <w:spacing w:val="-7"/>
          <w:w w:val="105"/>
          <w:sz w:val="20"/>
        </w:rPr>
        <w:t> </w:t>
      </w:r>
      <w:r>
        <w:rPr>
          <w:w w:val="105"/>
          <w:sz w:val="20"/>
        </w:rPr>
        <w:t>any</w:t>
      </w:r>
      <w:r>
        <w:rPr>
          <w:spacing w:val="-8"/>
          <w:w w:val="105"/>
          <w:sz w:val="20"/>
        </w:rPr>
        <w:t> </w:t>
      </w:r>
      <w:r>
        <w:rPr>
          <w:w w:val="105"/>
          <w:sz w:val="20"/>
        </w:rPr>
        <w:t>argument</w:t>
      </w:r>
      <w:r>
        <w:rPr>
          <w:spacing w:val="-7"/>
          <w:w w:val="105"/>
          <w:sz w:val="20"/>
        </w:rPr>
        <w:t> </w:t>
      </w:r>
      <w:r>
        <w:rPr>
          <w:w w:val="105"/>
          <w:sz w:val="20"/>
        </w:rPr>
        <w:t>or</w:t>
      </w:r>
      <w:r>
        <w:rPr>
          <w:spacing w:val="-6"/>
          <w:w w:val="105"/>
          <w:sz w:val="20"/>
        </w:rPr>
        <w:t> </w:t>
      </w:r>
      <w:r>
        <w:rPr>
          <w:w w:val="105"/>
          <w:sz w:val="20"/>
        </w:rPr>
        <w:t>narrative</w:t>
      </w:r>
      <w:r>
        <w:rPr>
          <w:spacing w:val="-10"/>
          <w:w w:val="105"/>
          <w:sz w:val="20"/>
        </w:rPr>
        <w:t> </w:t>
      </w:r>
      <w:r>
        <w:rPr>
          <w:w w:val="105"/>
          <w:sz w:val="20"/>
        </w:rPr>
        <w:t>and</w:t>
      </w:r>
      <w:r>
        <w:rPr>
          <w:spacing w:val="-9"/>
          <w:w w:val="105"/>
          <w:sz w:val="20"/>
        </w:rPr>
        <w:t> </w:t>
      </w:r>
      <w:r>
        <w:rPr>
          <w:w w:val="105"/>
          <w:sz w:val="20"/>
        </w:rPr>
        <w:t>such</w:t>
      </w:r>
      <w:r>
        <w:rPr>
          <w:spacing w:val="-8"/>
          <w:w w:val="105"/>
          <w:sz w:val="20"/>
        </w:rPr>
        <w:t> </w:t>
      </w:r>
      <w:r>
        <w:rPr>
          <w:w w:val="105"/>
          <w:sz w:val="20"/>
        </w:rPr>
        <w:t>grounds</w:t>
      </w:r>
      <w:r>
        <w:rPr>
          <w:spacing w:val="-8"/>
          <w:w w:val="105"/>
          <w:sz w:val="20"/>
        </w:rPr>
        <w:t> </w:t>
      </w:r>
      <w:r>
        <w:rPr>
          <w:w w:val="105"/>
          <w:sz w:val="20"/>
        </w:rPr>
        <w:t>should</w:t>
      </w:r>
      <w:r>
        <w:rPr>
          <w:spacing w:val="-8"/>
          <w:w w:val="105"/>
          <w:sz w:val="20"/>
        </w:rPr>
        <w:t> </w:t>
      </w:r>
      <w:r>
        <w:rPr>
          <w:w w:val="105"/>
          <w:sz w:val="20"/>
        </w:rPr>
        <w:t>be numbered</w:t>
      </w:r>
      <w:r>
        <w:rPr>
          <w:spacing w:val="-1"/>
          <w:w w:val="105"/>
          <w:sz w:val="20"/>
        </w:rPr>
        <w:t> </w:t>
      </w:r>
      <w:r>
        <w:rPr>
          <w:w w:val="105"/>
          <w:sz w:val="20"/>
        </w:rPr>
        <w:t>consecutively.</w:t>
      </w:r>
    </w:p>
    <w:p>
      <w:pPr>
        <w:pStyle w:val="ListParagraph"/>
        <w:numPr>
          <w:ilvl w:val="0"/>
          <w:numId w:val="1"/>
        </w:numPr>
        <w:tabs>
          <w:tab w:pos="664" w:val="left" w:leader="none"/>
          <w:tab w:pos="665" w:val="left" w:leader="none"/>
        </w:tabs>
        <w:spacing w:line="240" w:lineRule="auto" w:before="108" w:after="0"/>
        <w:ind w:left="664" w:right="0" w:hanging="451"/>
        <w:jc w:val="left"/>
        <w:rPr>
          <w:sz w:val="20"/>
        </w:rPr>
      </w:pPr>
      <w:r>
        <w:rPr>
          <w:w w:val="105"/>
          <w:sz w:val="20"/>
        </w:rPr>
        <w:t>The</w:t>
      </w:r>
      <w:r>
        <w:rPr>
          <w:spacing w:val="-7"/>
          <w:w w:val="105"/>
          <w:sz w:val="20"/>
        </w:rPr>
        <w:t> </w:t>
      </w:r>
      <w:r>
        <w:rPr>
          <w:w w:val="105"/>
          <w:sz w:val="20"/>
        </w:rPr>
        <w:t>Appeal</w:t>
      </w:r>
      <w:r>
        <w:rPr>
          <w:spacing w:val="-4"/>
          <w:w w:val="105"/>
          <w:sz w:val="20"/>
        </w:rPr>
        <w:t> </w:t>
      </w:r>
      <w:r>
        <w:rPr>
          <w:w w:val="105"/>
          <w:sz w:val="20"/>
        </w:rPr>
        <w:t>number</w:t>
      </w:r>
      <w:r>
        <w:rPr>
          <w:spacing w:val="-3"/>
          <w:w w:val="105"/>
          <w:sz w:val="20"/>
        </w:rPr>
        <w:t> </w:t>
      </w:r>
      <w:r>
        <w:rPr>
          <w:w w:val="105"/>
          <w:sz w:val="20"/>
        </w:rPr>
        <w:t>and</w:t>
      </w:r>
      <w:r>
        <w:rPr>
          <w:spacing w:val="-7"/>
          <w:w w:val="105"/>
          <w:sz w:val="20"/>
        </w:rPr>
        <w:t> </w:t>
      </w:r>
      <w:r>
        <w:rPr>
          <w:w w:val="105"/>
          <w:sz w:val="20"/>
        </w:rPr>
        <w:t>year</w:t>
      </w:r>
      <w:r>
        <w:rPr>
          <w:spacing w:val="-3"/>
          <w:w w:val="105"/>
          <w:sz w:val="20"/>
        </w:rPr>
        <w:t> </w:t>
      </w:r>
      <w:r>
        <w:rPr>
          <w:w w:val="105"/>
          <w:sz w:val="20"/>
        </w:rPr>
        <w:t>of</w:t>
      </w:r>
      <w:r>
        <w:rPr>
          <w:spacing w:val="-3"/>
          <w:w w:val="105"/>
          <w:sz w:val="20"/>
        </w:rPr>
        <w:t> </w:t>
      </w:r>
      <w:r>
        <w:rPr>
          <w:w w:val="105"/>
          <w:sz w:val="20"/>
        </w:rPr>
        <w:t>appeal</w:t>
      </w:r>
      <w:r>
        <w:rPr>
          <w:spacing w:val="-4"/>
          <w:w w:val="105"/>
          <w:sz w:val="20"/>
        </w:rPr>
        <w:t> </w:t>
      </w:r>
      <w:r>
        <w:rPr>
          <w:w w:val="105"/>
          <w:sz w:val="20"/>
        </w:rPr>
        <w:t>shall</w:t>
      </w:r>
      <w:r>
        <w:rPr>
          <w:spacing w:val="-4"/>
          <w:w w:val="105"/>
          <w:sz w:val="20"/>
        </w:rPr>
        <w:t> </w:t>
      </w:r>
      <w:r>
        <w:rPr>
          <w:w w:val="105"/>
          <w:sz w:val="20"/>
        </w:rPr>
        <w:t>be</w:t>
      </w:r>
      <w:r>
        <w:rPr>
          <w:spacing w:val="-7"/>
          <w:w w:val="105"/>
          <w:sz w:val="20"/>
        </w:rPr>
        <w:t> </w:t>
      </w:r>
      <w:r>
        <w:rPr>
          <w:w w:val="105"/>
          <w:sz w:val="20"/>
        </w:rPr>
        <w:t>filled</w:t>
      </w:r>
      <w:r>
        <w:rPr>
          <w:spacing w:val="-7"/>
          <w:w w:val="105"/>
          <w:sz w:val="20"/>
        </w:rPr>
        <w:t> </w:t>
      </w:r>
      <w:r>
        <w:rPr>
          <w:w w:val="105"/>
          <w:sz w:val="20"/>
        </w:rPr>
        <w:t>in</w:t>
      </w:r>
      <w:r>
        <w:rPr>
          <w:spacing w:val="-3"/>
          <w:w w:val="105"/>
          <w:sz w:val="20"/>
        </w:rPr>
        <w:t> </w:t>
      </w:r>
      <w:r>
        <w:rPr>
          <w:w w:val="105"/>
          <w:sz w:val="20"/>
        </w:rPr>
        <w:t>by</w:t>
      </w:r>
      <w:r>
        <w:rPr>
          <w:spacing w:val="-6"/>
          <w:w w:val="105"/>
          <w:sz w:val="20"/>
        </w:rPr>
        <w:t> </w:t>
      </w:r>
      <w:r>
        <w:rPr>
          <w:w w:val="105"/>
          <w:sz w:val="20"/>
        </w:rPr>
        <w:t>the</w:t>
      </w:r>
      <w:r>
        <w:rPr>
          <w:spacing w:val="-7"/>
          <w:w w:val="105"/>
          <w:sz w:val="20"/>
        </w:rPr>
        <w:t> </w:t>
      </w:r>
      <w:r>
        <w:rPr>
          <w:w w:val="105"/>
          <w:sz w:val="20"/>
        </w:rPr>
        <w:t>office</w:t>
      </w:r>
      <w:r>
        <w:rPr>
          <w:spacing w:val="-4"/>
          <w:w w:val="105"/>
          <w:sz w:val="20"/>
        </w:rPr>
        <w:t> </w:t>
      </w:r>
      <w:r>
        <w:rPr>
          <w:w w:val="105"/>
          <w:sz w:val="20"/>
        </w:rPr>
        <w:t>of</w:t>
      </w:r>
      <w:r>
        <w:rPr>
          <w:spacing w:val="-3"/>
          <w:w w:val="105"/>
          <w:sz w:val="20"/>
        </w:rPr>
        <w:t> </w:t>
      </w:r>
      <w:r>
        <w:rPr>
          <w:w w:val="105"/>
          <w:sz w:val="20"/>
        </w:rPr>
        <w:t>the</w:t>
      </w:r>
      <w:r>
        <w:rPr>
          <w:spacing w:val="-4"/>
          <w:w w:val="105"/>
          <w:sz w:val="20"/>
        </w:rPr>
        <w:t> </w:t>
      </w:r>
      <w:r>
        <w:rPr>
          <w:w w:val="105"/>
          <w:sz w:val="20"/>
        </w:rPr>
        <w:t>Appellate</w:t>
      </w:r>
      <w:r>
        <w:rPr>
          <w:spacing w:val="-7"/>
          <w:w w:val="105"/>
          <w:sz w:val="20"/>
        </w:rPr>
        <w:t> </w:t>
      </w:r>
      <w:r>
        <w:rPr>
          <w:w w:val="105"/>
          <w:sz w:val="20"/>
        </w:rPr>
        <w:t>Tribunal.</w:t>
      </w:r>
    </w:p>
    <w:p>
      <w:pPr>
        <w:pStyle w:val="ListParagraph"/>
        <w:numPr>
          <w:ilvl w:val="0"/>
          <w:numId w:val="1"/>
        </w:numPr>
        <w:tabs>
          <w:tab w:pos="665" w:val="left" w:leader="none"/>
        </w:tabs>
        <w:spacing w:line="247" w:lineRule="auto" w:before="120" w:after="0"/>
        <w:ind w:left="213" w:right="222" w:firstLine="0"/>
        <w:jc w:val="both"/>
        <w:rPr>
          <w:sz w:val="20"/>
        </w:rPr>
      </w:pPr>
      <w:r>
        <w:rPr>
          <w:w w:val="105"/>
          <w:sz w:val="20"/>
        </w:rPr>
        <w:t>In</w:t>
      </w:r>
      <w:r>
        <w:rPr>
          <w:spacing w:val="-3"/>
          <w:w w:val="105"/>
          <w:sz w:val="20"/>
        </w:rPr>
        <w:t> </w:t>
      </w:r>
      <w:r>
        <w:rPr>
          <w:w w:val="105"/>
          <w:sz w:val="20"/>
        </w:rPr>
        <w:t>column’s seeking</w:t>
      </w:r>
      <w:r>
        <w:rPr>
          <w:spacing w:val="-6"/>
          <w:w w:val="105"/>
          <w:sz w:val="20"/>
        </w:rPr>
        <w:t> </w:t>
      </w:r>
      <w:r>
        <w:rPr>
          <w:w w:val="105"/>
          <w:sz w:val="20"/>
        </w:rPr>
        <w:t>Appellant’s</w:t>
      </w:r>
      <w:r>
        <w:rPr>
          <w:spacing w:val="-5"/>
          <w:w w:val="105"/>
          <w:sz w:val="20"/>
        </w:rPr>
        <w:t> </w:t>
      </w:r>
      <w:r>
        <w:rPr>
          <w:w w:val="105"/>
          <w:sz w:val="20"/>
        </w:rPr>
        <w:t>and</w:t>
      </w:r>
      <w:r>
        <w:rPr>
          <w:spacing w:val="-4"/>
          <w:w w:val="105"/>
          <w:sz w:val="20"/>
        </w:rPr>
        <w:t> </w:t>
      </w:r>
      <w:r>
        <w:rPr>
          <w:w w:val="105"/>
          <w:sz w:val="20"/>
        </w:rPr>
        <w:t>Respondent’s</w:t>
      </w:r>
      <w:r>
        <w:rPr>
          <w:spacing w:val="-4"/>
          <w:w w:val="105"/>
          <w:sz w:val="20"/>
        </w:rPr>
        <w:t> </w:t>
      </w:r>
      <w:r>
        <w:rPr>
          <w:w w:val="105"/>
          <w:sz w:val="20"/>
        </w:rPr>
        <w:t>information,</w:t>
      </w:r>
      <w:r>
        <w:rPr>
          <w:spacing w:val="-3"/>
          <w:w w:val="105"/>
          <w:sz w:val="20"/>
        </w:rPr>
        <w:t> </w:t>
      </w:r>
      <w:r>
        <w:rPr>
          <w:w w:val="105"/>
          <w:sz w:val="20"/>
        </w:rPr>
        <w:t>the</w:t>
      </w:r>
      <w:r>
        <w:rPr>
          <w:spacing w:val="-4"/>
          <w:w w:val="105"/>
          <w:sz w:val="20"/>
        </w:rPr>
        <w:t> </w:t>
      </w:r>
      <w:r>
        <w:rPr>
          <w:w w:val="105"/>
          <w:sz w:val="20"/>
        </w:rPr>
        <w:t>relevant</w:t>
      </w:r>
      <w:r>
        <w:rPr>
          <w:spacing w:val="-2"/>
          <w:w w:val="105"/>
          <w:sz w:val="20"/>
        </w:rPr>
        <w:t> </w:t>
      </w:r>
      <w:r>
        <w:rPr>
          <w:w w:val="105"/>
          <w:sz w:val="20"/>
        </w:rPr>
        <w:t>data, as</w:t>
      </w:r>
      <w:r>
        <w:rPr>
          <w:spacing w:val="-5"/>
          <w:w w:val="105"/>
          <w:sz w:val="20"/>
        </w:rPr>
        <w:t> </w:t>
      </w:r>
      <w:r>
        <w:rPr>
          <w:w w:val="105"/>
          <w:sz w:val="20"/>
        </w:rPr>
        <w:t>applicable</w:t>
      </w:r>
      <w:r>
        <w:rPr>
          <w:spacing w:val="-2"/>
          <w:w w:val="105"/>
          <w:sz w:val="20"/>
        </w:rPr>
        <w:t> </w:t>
      </w:r>
      <w:r>
        <w:rPr>
          <w:w w:val="105"/>
          <w:sz w:val="20"/>
        </w:rPr>
        <w:t>shall</w:t>
      </w:r>
      <w:r>
        <w:rPr>
          <w:spacing w:val="-2"/>
          <w:w w:val="105"/>
          <w:sz w:val="20"/>
        </w:rPr>
        <w:t> </w:t>
      </w:r>
      <w:r>
        <w:rPr>
          <w:w w:val="105"/>
          <w:sz w:val="20"/>
        </w:rPr>
        <w:t>be filled in</w:t>
      </w:r>
      <w:r>
        <w:rPr>
          <w:spacing w:val="-4"/>
          <w:w w:val="105"/>
          <w:sz w:val="20"/>
        </w:rPr>
        <w:t> </w:t>
      </w:r>
      <w:r>
        <w:rPr>
          <w:w w:val="105"/>
          <w:sz w:val="20"/>
        </w:rPr>
        <w:t>properly.</w:t>
      </w:r>
    </w:p>
    <w:p>
      <w:pPr>
        <w:pStyle w:val="BodyText"/>
        <w:tabs>
          <w:tab w:pos="1461" w:val="left" w:leader="none"/>
        </w:tabs>
        <w:spacing w:before="117"/>
      </w:pPr>
      <w:r>
        <w:rPr/>
        <w:pict>
          <v:line style="position:absolute;mso-position-horizontal-relative:page;mso-position-vertical-relative:paragraph;z-index:-22744" from="127.56002pt,11.038785pt" to="134.063473pt,11.038785pt" stroked="true" strokeweight=".326479pt" strokecolor="#000000">
            <v:stroke dashstyle="solid"/>
            <w10:wrap type="none"/>
          </v:line>
        </w:pict>
      </w:r>
      <w:r>
        <w:rPr>
          <w:b/>
          <w:i/>
          <w:w w:val="105"/>
        </w:rPr>
        <w:t>Illustration.</w:t>
        <w:tab/>
      </w:r>
      <w:r>
        <w:rPr>
          <w:w w:val="105"/>
        </w:rPr>
        <w:t>for</w:t>
      </w:r>
      <w:r>
        <w:rPr>
          <w:spacing w:val="39"/>
          <w:w w:val="105"/>
        </w:rPr>
        <w:t> </w:t>
      </w:r>
      <w:r>
        <w:rPr>
          <w:w w:val="105"/>
        </w:rPr>
        <w:t>instance</w:t>
      </w:r>
      <w:r>
        <w:rPr>
          <w:spacing w:val="38"/>
          <w:w w:val="105"/>
        </w:rPr>
        <w:t> </w:t>
      </w:r>
      <w:r>
        <w:rPr>
          <w:w w:val="105"/>
        </w:rPr>
        <w:t>in</w:t>
      </w:r>
      <w:r>
        <w:rPr>
          <w:spacing w:val="36"/>
          <w:w w:val="105"/>
        </w:rPr>
        <w:t> </w:t>
      </w:r>
      <w:r>
        <w:rPr>
          <w:w w:val="105"/>
        </w:rPr>
        <w:t>case</w:t>
      </w:r>
      <w:r>
        <w:rPr>
          <w:spacing w:val="38"/>
          <w:w w:val="105"/>
        </w:rPr>
        <w:t> </w:t>
      </w:r>
      <w:r>
        <w:rPr>
          <w:w w:val="105"/>
        </w:rPr>
        <w:t>the</w:t>
      </w:r>
      <w:r>
        <w:rPr>
          <w:spacing w:val="35"/>
          <w:w w:val="105"/>
        </w:rPr>
        <w:t> </w:t>
      </w:r>
      <w:r>
        <w:rPr>
          <w:w w:val="105"/>
        </w:rPr>
        <w:t>Department</w:t>
      </w:r>
      <w:r>
        <w:rPr>
          <w:spacing w:val="39"/>
          <w:w w:val="105"/>
        </w:rPr>
        <w:t> </w:t>
      </w:r>
      <w:r>
        <w:rPr>
          <w:w w:val="105"/>
        </w:rPr>
        <w:t>is</w:t>
      </w:r>
      <w:r>
        <w:rPr>
          <w:spacing w:val="35"/>
          <w:w w:val="105"/>
        </w:rPr>
        <w:t> </w:t>
      </w:r>
      <w:r>
        <w:rPr>
          <w:w w:val="105"/>
        </w:rPr>
        <w:t>Appellant</w:t>
      </w:r>
      <w:r>
        <w:rPr>
          <w:spacing w:val="39"/>
          <w:w w:val="105"/>
        </w:rPr>
        <w:t> </w:t>
      </w:r>
      <w:r>
        <w:rPr>
          <w:w w:val="105"/>
        </w:rPr>
        <w:t>or</w:t>
      </w:r>
      <w:r>
        <w:rPr>
          <w:spacing w:val="40"/>
          <w:w w:val="105"/>
        </w:rPr>
        <w:t> </w:t>
      </w:r>
      <w:r>
        <w:rPr>
          <w:w w:val="105"/>
        </w:rPr>
        <w:t>Respondent,</w:t>
      </w:r>
      <w:r>
        <w:rPr>
          <w:spacing w:val="36"/>
          <w:w w:val="105"/>
        </w:rPr>
        <w:t> </w:t>
      </w:r>
      <w:r>
        <w:rPr>
          <w:w w:val="105"/>
        </w:rPr>
        <w:t>as</w:t>
      </w:r>
      <w:r>
        <w:rPr>
          <w:spacing w:val="37"/>
          <w:w w:val="105"/>
        </w:rPr>
        <w:t> </w:t>
      </w:r>
      <w:r>
        <w:rPr>
          <w:w w:val="105"/>
        </w:rPr>
        <w:t>the</w:t>
      </w:r>
      <w:r>
        <w:rPr>
          <w:spacing w:val="38"/>
          <w:w w:val="105"/>
        </w:rPr>
        <w:t> </w:t>
      </w:r>
      <w:r>
        <w:rPr>
          <w:w w:val="105"/>
        </w:rPr>
        <w:t>case</w:t>
      </w:r>
      <w:r>
        <w:rPr>
          <w:spacing w:val="36"/>
          <w:w w:val="105"/>
        </w:rPr>
        <w:t> </w:t>
      </w:r>
      <w:r>
        <w:rPr>
          <w:w w:val="105"/>
        </w:rPr>
        <w:t>may</w:t>
      </w:r>
      <w:r>
        <w:rPr>
          <w:spacing w:val="34"/>
          <w:w w:val="105"/>
        </w:rPr>
        <w:t> </w:t>
      </w:r>
      <w:r>
        <w:rPr>
          <w:w w:val="105"/>
        </w:rPr>
        <w:t>be,</w:t>
      </w:r>
      <w:r>
        <w:rPr>
          <w:spacing w:val="37"/>
          <w:w w:val="105"/>
        </w:rPr>
        <w:t> </w:t>
      </w:r>
      <w:r>
        <w:rPr>
          <w:w w:val="105"/>
        </w:rPr>
        <w:t>the</w:t>
      </w:r>
    </w:p>
    <w:p>
      <w:pPr>
        <w:pStyle w:val="BodyText"/>
        <w:spacing w:before="5"/>
      </w:pPr>
      <w:r>
        <w:rPr>
          <w:w w:val="105"/>
        </w:rPr>
        <w:t>designation of the officer filing the Appeal and details pertaining to his office may be filled, if available.</w:t>
      </w:r>
    </w:p>
    <w:p>
      <w:pPr>
        <w:pStyle w:val="ListParagraph"/>
        <w:numPr>
          <w:ilvl w:val="0"/>
          <w:numId w:val="1"/>
        </w:numPr>
        <w:tabs>
          <w:tab w:pos="665" w:val="left" w:leader="none"/>
        </w:tabs>
        <w:spacing w:line="247" w:lineRule="auto" w:before="123" w:after="0"/>
        <w:ind w:left="213" w:right="224" w:firstLine="0"/>
        <w:jc w:val="both"/>
        <w:rPr>
          <w:sz w:val="20"/>
        </w:rPr>
      </w:pPr>
      <w:r>
        <w:rPr>
          <w:w w:val="105"/>
          <w:sz w:val="20"/>
        </w:rPr>
        <w:t>The </w:t>
      </w:r>
      <w:r>
        <w:rPr>
          <w:i/>
          <w:w w:val="105"/>
          <w:sz w:val="20"/>
        </w:rPr>
        <w:t>'Tax effect' </w:t>
      </w:r>
      <w:r>
        <w:rPr>
          <w:w w:val="105"/>
          <w:sz w:val="20"/>
        </w:rPr>
        <w:t>for the purpose of filling this Form shall be taken as the difference between the tax on the</w:t>
      </w:r>
      <w:r>
        <w:rPr>
          <w:spacing w:val="-7"/>
          <w:w w:val="105"/>
          <w:sz w:val="20"/>
        </w:rPr>
        <w:t> </w:t>
      </w:r>
      <w:r>
        <w:rPr>
          <w:w w:val="105"/>
          <w:sz w:val="20"/>
        </w:rPr>
        <w:t>total</w:t>
      </w:r>
      <w:r>
        <w:rPr>
          <w:spacing w:val="-5"/>
          <w:w w:val="105"/>
          <w:sz w:val="20"/>
        </w:rPr>
        <w:t> </w:t>
      </w:r>
      <w:r>
        <w:rPr>
          <w:w w:val="105"/>
          <w:sz w:val="20"/>
        </w:rPr>
        <w:t>income</w:t>
      </w:r>
      <w:r>
        <w:rPr>
          <w:spacing w:val="-4"/>
          <w:w w:val="105"/>
          <w:sz w:val="20"/>
        </w:rPr>
        <w:t> </w:t>
      </w:r>
      <w:r>
        <w:rPr>
          <w:w w:val="105"/>
          <w:sz w:val="20"/>
        </w:rPr>
        <w:t>assessed</w:t>
      </w:r>
      <w:r>
        <w:rPr>
          <w:spacing w:val="-4"/>
          <w:w w:val="105"/>
          <w:sz w:val="20"/>
        </w:rPr>
        <w:t> </w:t>
      </w:r>
      <w:r>
        <w:rPr>
          <w:w w:val="105"/>
          <w:sz w:val="20"/>
        </w:rPr>
        <w:t>and</w:t>
      </w:r>
      <w:r>
        <w:rPr>
          <w:spacing w:val="-6"/>
          <w:w w:val="105"/>
          <w:sz w:val="20"/>
        </w:rPr>
        <w:t> </w:t>
      </w:r>
      <w:r>
        <w:rPr>
          <w:w w:val="105"/>
          <w:sz w:val="20"/>
        </w:rPr>
        <w:t>the</w:t>
      </w:r>
      <w:r>
        <w:rPr>
          <w:spacing w:val="-6"/>
          <w:w w:val="105"/>
          <w:sz w:val="20"/>
        </w:rPr>
        <w:t> </w:t>
      </w:r>
      <w:r>
        <w:rPr>
          <w:w w:val="105"/>
          <w:sz w:val="20"/>
        </w:rPr>
        <w:t>tax</w:t>
      </w:r>
      <w:r>
        <w:rPr>
          <w:spacing w:val="-6"/>
          <w:w w:val="105"/>
          <w:sz w:val="20"/>
        </w:rPr>
        <w:t> </w:t>
      </w:r>
      <w:r>
        <w:rPr>
          <w:w w:val="105"/>
          <w:sz w:val="20"/>
        </w:rPr>
        <w:t>that</w:t>
      </w:r>
      <w:r>
        <w:rPr>
          <w:spacing w:val="-3"/>
          <w:w w:val="105"/>
          <w:sz w:val="20"/>
        </w:rPr>
        <w:t> </w:t>
      </w:r>
      <w:r>
        <w:rPr>
          <w:w w:val="105"/>
          <w:sz w:val="20"/>
        </w:rPr>
        <w:t>would</w:t>
      </w:r>
      <w:r>
        <w:rPr>
          <w:spacing w:val="-4"/>
          <w:w w:val="105"/>
          <w:sz w:val="20"/>
        </w:rPr>
        <w:t> </w:t>
      </w:r>
      <w:r>
        <w:rPr>
          <w:w w:val="105"/>
          <w:sz w:val="20"/>
        </w:rPr>
        <w:t>have</w:t>
      </w:r>
      <w:r>
        <w:rPr>
          <w:spacing w:val="-4"/>
          <w:w w:val="105"/>
          <w:sz w:val="20"/>
        </w:rPr>
        <w:t> </w:t>
      </w:r>
      <w:r>
        <w:rPr>
          <w:w w:val="105"/>
          <w:sz w:val="20"/>
        </w:rPr>
        <w:t>been</w:t>
      </w:r>
      <w:r>
        <w:rPr>
          <w:spacing w:val="-2"/>
          <w:w w:val="105"/>
          <w:sz w:val="20"/>
        </w:rPr>
        <w:t> </w:t>
      </w:r>
      <w:r>
        <w:rPr>
          <w:w w:val="105"/>
          <w:sz w:val="20"/>
        </w:rPr>
        <w:t>chargeable</w:t>
      </w:r>
      <w:r>
        <w:rPr>
          <w:spacing w:val="-6"/>
          <w:w w:val="105"/>
          <w:sz w:val="20"/>
        </w:rPr>
        <w:t> </w:t>
      </w:r>
      <w:r>
        <w:rPr>
          <w:w w:val="105"/>
          <w:sz w:val="20"/>
        </w:rPr>
        <w:t>had</w:t>
      </w:r>
      <w:r>
        <w:rPr>
          <w:spacing w:val="-6"/>
          <w:w w:val="105"/>
          <w:sz w:val="20"/>
        </w:rPr>
        <w:t> </w:t>
      </w:r>
      <w:r>
        <w:rPr>
          <w:w w:val="105"/>
          <w:sz w:val="20"/>
        </w:rPr>
        <w:t>such</w:t>
      </w:r>
      <w:r>
        <w:rPr>
          <w:spacing w:val="-4"/>
          <w:w w:val="105"/>
          <w:sz w:val="20"/>
        </w:rPr>
        <w:t> </w:t>
      </w:r>
      <w:r>
        <w:rPr>
          <w:w w:val="105"/>
          <w:sz w:val="20"/>
        </w:rPr>
        <w:t>total</w:t>
      </w:r>
      <w:r>
        <w:rPr>
          <w:spacing w:val="-3"/>
          <w:w w:val="105"/>
          <w:sz w:val="20"/>
        </w:rPr>
        <w:t> </w:t>
      </w:r>
      <w:r>
        <w:rPr>
          <w:w w:val="105"/>
          <w:sz w:val="20"/>
        </w:rPr>
        <w:t>income</w:t>
      </w:r>
      <w:r>
        <w:rPr>
          <w:spacing w:val="-6"/>
          <w:w w:val="105"/>
          <w:sz w:val="20"/>
        </w:rPr>
        <w:t> </w:t>
      </w:r>
      <w:r>
        <w:rPr>
          <w:w w:val="105"/>
          <w:sz w:val="20"/>
        </w:rPr>
        <w:t>been</w:t>
      </w:r>
      <w:r>
        <w:rPr>
          <w:spacing w:val="-4"/>
          <w:w w:val="105"/>
          <w:sz w:val="20"/>
        </w:rPr>
        <w:t> </w:t>
      </w:r>
      <w:r>
        <w:rPr>
          <w:w w:val="105"/>
          <w:sz w:val="20"/>
        </w:rPr>
        <w:t>reduced</w:t>
      </w:r>
      <w:r>
        <w:rPr>
          <w:spacing w:val="-3"/>
          <w:w w:val="105"/>
          <w:sz w:val="20"/>
        </w:rPr>
        <w:t> </w:t>
      </w:r>
      <w:r>
        <w:rPr>
          <w:w w:val="105"/>
          <w:sz w:val="20"/>
        </w:rPr>
        <w:t>by the</w:t>
      </w:r>
      <w:r>
        <w:rPr>
          <w:spacing w:val="-8"/>
          <w:w w:val="105"/>
          <w:sz w:val="20"/>
        </w:rPr>
        <w:t> </w:t>
      </w:r>
      <w:r>
        <w:rPr>
          <w:w w:val="105"/>
          <w:sz w:val="20"/>
        </w:rPr>
        <w:t>amount</w:t>
      </w:r>
      <w:r>
        <w:rPr>
          <w:spacing w:val="-5"/>
          <w:w w:val="105"/>
          <w:sz w:val="20"/>
        </w:rPr>
        <w:t> </w:t>
      </w:r>
      <w:r>
        <w:rPr>
          <w:w w:val="105"/>
          <w:sz w:val="20"/>
        </w:rPr>
        <w:t>of</w:t>
      </w:r>
      <w:r>
        <w:rPr>
          <w:spacing w:val="-5"/>
          <w:w w:val="105"/>
          <w:sz w:val="20"/>
        </w:rPr>
        <w:t> </w:t>
      </w:r>
      <w:r>
        <w:rPr>
          <w:w w:val="105"/>
          <w:sz w:val="20"/>
        </w:rPr>
        <w:t>income</w:t>
      </w:r>
      <w:r>
        <w:rPr>
          <w:spacing w:val="-8"/>
          <w:w w:val="105"/>
          <w:sz w:val="20"/>
        </w:rPr>
        <w:t> </w:t>
      </w:r>
      <w:r>
        <w:rPr>
          <w:w w:val="105"/>
          <w:sz w:val="20"/>
        </w:rPr>
        <w:t>in</w:t>
      </w:r>
      <w:r>
        <w:rPr>
          <w:spacing w:val="-6"/>
          <w:w w:val="105"/>
          <w:sz w:val="20"/>
        </w:rPr>
        <w:t> </w:t>
      </w:r>
      <w:r>
        <w:rPr>
          <w:w w:val="105"/>
          <w:sz w:val="20"/>
        </w:rPr>
        <w:t>respect</w:t>
      </w:r>
      <w:r>
        <w:rPr>
          <w:spacing w:val="-5"/>
          <w:w w:val="105"/>
          <w:sz w:val="20"/>
        </w:rPr>
        <w:t> </w:t>
      </w:r>
      <w:r>
        <w:rPr>
          <w:w w:val="105"/>
          <w:sz w:val="20"/>
        </w:rPr>
        <w:t>of</w:t>
      </w:r>
      <w:r>
        <w:rPr>
          <w:spacing w:val="-6"/>
          <w:w w:val="105"/>
          <w:sz w:val="20"/>
        </w:rPr>
        <w:t> </w:t>
      </w:r>
      <w:r>
        <w:rPr>
          <w:w w:val="105"/>
          <w:sz w:val="20"/>
        </w:rPr>
        <w:t>the</w:t>
      </w:r>
      <w:r>
        <w:rPr>
          <w:spacing w:val="-8"/>
          <w:w w:val="105"/>
          <w:sz w:val="20"/>
        </w:rPr>
        <w:t> </w:t>
      </w:r>
      <w:r>
        <w:rPr>
          <w:w w:val="105"/>
          <w:sz w:val="20"/>
        </w:rPr>
        <w:t>issues</w:t>
      </w:r>
      <w:r>
        <w:rPr>
          <w:spacing w:val="-4"/>
          <w:w w:val="105"/>
          <w:sz w:val="20"/>
        </w:rPr>
        <w:t> </w:t>
      </w:r>
      <w:r>
        <w:rPr>
          <w:w w:val="105"/>
          <w:sz w:val="20"/>
        </w:rPr>
        <w:t>against</w:t>
      </w:r>
      <w:r>
        <w:rPr>
          <w:spacing w:val="-3"/>
          <w:w w:val="105"/>
          <w:sz w:val="20"/>
        </w:rPr>
        <w:t> </w:t>
      </w:r>
      <w:r>
        <w:rPr>
          <w:w w:val="105"/>
          <w:sz w:val="20"/>
        </w:rPr>
        <w:t>which</w:t>
      </w:r>
      <w:r>
        <w:rPr>
          <w:spacing w:val="-6"/>
          <w:w w:val="105"/>
          <w:sz w:val="20"/>
        </w:rPr>
        <w:t> </w:t>
      </w:r>
      <w:r>
        <w:rPr>
          <w:w w:val="105"/>
          <w:sz w:val="20"/>
        </w:rPr>
        <w:t>appeal</w:t>
      </w:r>
      <w:r>
        <w:rPr>
          <w:spacing w:val="-5"/>
          <w:w w:val="105"/>
          <w:sz w:val="20"/>
        </w:rPr>
        <w:t> </w:t>
      </w:r>
      <w:r>
        <w:rPr>
          <w:w w:val="105"/>
          <w:sz w:val="20"/>
        </w:rPr>
        <w:t>is</w:t>
      </w:r>
      <w:r>
        <w:rPr>
          <w:spacing w:val="-7"/>
          <w:w w:val="105"/>
          <w:sz w:val="20"/>
        </w:rPr>
        <w:t> </w:t>
      </w:r>
      <w:r>
        <w:rPr>
          <w:w w:val="105"/>
          <w:sz w:val="20"/>
        </w:rPr>
        <w:t>intended</w:t>
      </w:r>
      <w:r>
        <w:rPr>
          <w:spacing w:val="-8"/>
          <w:w w:val="105"/>
          <w:sz w:val="20"/>
        </w:rPr>
        <w:t> </w:t>
      </w:r>
      <w:r>
        <w:rPr>
          <w:w w:val="105"/>
          <w:sz w:val="20"/>
        </w:rPr>
        <w:t>to</w:t>
      </w:r>
      <w:r>
        <w:rPr>
          <w:spacing w:val="-3"/>
          <w:w w:val="105"/>
          <w:sz w:val="20"/>
        </w:rPr>
        <w:t> </w:t>
      </w:r>
      <w:r>
        <w:rPr>
          <w:w w:val="105"/>
          <w:sz w:val="20"/>
        </w:rPr>
        <w:t>be</w:t>
      </w:r>
      <w:r>
        <w:rPr>
          <w:spacing w:val="-7"/>
          <w:w w:val="105"/>
          <w:sz w:val="20"/>
        </w:rPr>
        <w:t> </w:t>
      </w:r>
      <w:r>
        <w:rPr>
          <w:w w:val="105"/>
          <w:sz w:val="20"/>
        </w:rPr>
        <w:t>filed</w:t>
      </w:r>
      <w:r>
        <w:rPr>
          <w:spacing w:val="-8"/>
          <w:w w:val="105"/>
          <w:sz w:val="20"/>
        </w:rPr>
        <w:t> </w:t>
      </w:r>
      <w:r>
        <w:rPr>
          <w:w w:val="105"/>
          <w:sz w:val="20"/>
        </w:rPr>
        <w:t>(i.e</w:t>
      </w:r>
      <w:r>
        <w:rPr>
          <w:i/>
          <w:w w:val="105"/>
          <w:sz w:val="20"/>
        </w:rPr>
        <w:t>.</w:t>
      </w:r>
      <w:r>
        <w:rPr>
          <w:i/>
          <w:spacing w:val="-7"/>
          <w:w w:val="105"/>
          <w:sz w:val="20"/>
        </w:rPr>
        <w:t> </w:t>
      </w:r>
      <w:r>
        <w:rPr>
          <w:i/>
          <w:w w:val="105"/>
          <w:sz w:val="20"/>
        </w:rPr>
        <w:t>disputed</w:t>
      </w:r>
      <w:r>
        <w:rPr>
          <w:i/>
          <w:spacing w:val="-6"/>
          <w:w w:val="105"/>
          <w:sz w:val="20"/>
        </w:rPr>
        <w:t> </w:t>
      </w:r>
      <w:r>
        <w:rPr>
          <w:i/>
          <w:w w:val="105"/>
          <w:sz w:val="20"/>
        </w:rPr>
        <w:t>issues) </w:t>
      </w:r>
      <w:r>
        <w:rPr>
          <w:w w:val="105"/>
          <w:sz w:val="20"/>
        </w:rPr>
        <w:t>including applicable surcharge and</w:t>
      </w:r>
      <w:r>
        <w:rPr>
          <w:spacing w:val="-9"/>
          <w:w w:val="105"/>
          <w:sz w:val="20"/>
        </w:rPr>
        <w:t> </w:t>
      </w:r>
      <w:r>
        <w:rPr>
          <w:w w:val="105"/>
          <w:sz w:val="20"/>
        </w:rPr>
        <w:t>cess:</w:t>
      </w:r>
    </w:p>
    <w:p>
      <w:pPr>
        <w:spacing w:after="0" w:line="247" w:lineRule="auto"/>
        <w:jc w:val="both"/>
        <w:rPr>
          <w:sz w:val="20"/>
        </w:rPr>
        <w:sectPr>
          <w:pgSz w:w="12240" w:h="15840"/>
          <w:pgMar w:top="1080" w:bottom="280" w:left="1320" w:right="1320"/>
        </w:sectPr>
      </w:pPr>
    </w:p>
    <w:p>
      <w:pPr>
        <w:pStyle w:val="BodyText"/>
        <w:spacing w:line="249" w:lineRule="auto" w:before="55"/>
        <w:ind w:right="220"/>
        <w:jc w:val="both"/>
      </w:pPr>
      <w:r>
        <w:rPr>
          <w:b/>
          <w:w w:val="105"/>
        </w:rPr>
        <w:t>Provided </w:t>
      </w:r>
      <w:r>
        <w:rPr>
          <w:w w:val="105"/>
        </w:rPr>
        <w:t>that the tax shall not include any interest thereon, except where chargeability of interest itself is in dispute and in case the chargeability of interest is the issue under dispute, the amount of interest shall be the tax effect:</w:t>
      </w:r>
    </w:p>
    <w:p>
      <w:pPr>
        <w:pStyle w:val="BodyText"/>
        <w:spacing w:line="249" w:lineRule="auto" w:before="108"/>
        <w:ind w:right="220"/>
        <w:jc w:val="both"/>
      </w:pPr>
      <w:r>
        <w:rPr>
          <w:b/>
          <w:w w:val="105"/>
        </w:rPr>
        <w:t>Provided </w:t>
      </w:r>
      <w:r>
        <w:rPr>
          <w:w w:val="105"/>
        </w:rPr>
        <w:t>further that in cases where returned loss is reduced or assessed as income, the tax effect shall include notional tax on disputed issues:</w:t>
      </w:r>
    </w:p>
    <w:p>
      <w:pPr>
        <w:pStyle w:val="BodyText"/>
        <w:spacing w:line="244" w:lineRule="auto" w:before="112"/>
        <w:ind w:right="221"/>
        <w:jc w:val="both"/>
      </w:pPr>
      <w:r>
        <w:rPr>
          <w:b/>
          <w:w w:val="105"/>
        </w:rPr>
        <w:t>Provided</w:t>
      </w:r>
      <w:r>
        <w:rPr>
          <w:b/>
          <w:spacing w:val="-4"/>
          <w:w w:val="105"/>
        </w:rPr>
        <w:t> </w:t>
      </w:r>
      <w:r>
        <w:rPr>
          <w:w w:val="105"/>
        </w:rPr>
        <w:t>also</w:t>
      </w:r>
      <w:r>
        <w:rPr>
          <w:spacing w:val="-2"/>
          <w:w w:val="105"/>
        </w:rPr>
        <w:t> </w:t>
      </w:r>
      <w:r>
        <w:rPr>
          <w:w w:val="105"/>
        </w:rPr>
        <w:t>that</w:t>
      </w:r>
      <w:r>
        <w:rPr>
          <w:spacing w:val="-1"/>
          <w:w w:val="105"/>
        </w:rPr>
        <w:t> </w:t>
      </w:r>
      <w:r>
        <w:rPr>
          <w:w w:val="105"/>
        </w:rPr>
        <w:t>in</w:t>
      </w:r>
      <w:r>
        <w:rPr>
          <w:spacing w:val="-2"/>
          <w:w w:val="105"/>
        </w:rPr>
        <w:t> </w:t>
      </w:r>
      <w:r>
        <w:rPr>
          <w:w w:val="105"/>
        </w:rPr>
        <w:t>case</w:t>
      </w:r>
      <w:r>
        <w:rPr>
          <w:spacing w:val="-1"/>
          <w:w w:val="105"/>
        </w:rPr>
        <w:t> </w:t>
      </w:r>
      <w:r>
        <w:rPr>
          <w:w w:val="105"/>
        </w:rPr>
        <w:t>of</w:t>
      </w:r>
      <w:r>
        <w:rPr>
          <w:spacing w:val="-1"/>
          <w:w w:val="105"/>
        </w:rPr>
        <w:t> </w:t>
      </w:r>
      <w:r>
        <w:rPr>
          <w:w w:val="105"/>
        </w:rPr>
        <w:t>penalty</w:t>
      </w:r>
      <w:r>
        <w:rPr>
          <w:spacing w:val="-4"/>
          <w:w w:val="105"/>
        </w:rPr>
        <w:t> </w:t>
      </w:r>
      <w:r>
        <w:rPr>
          <w:w w:val="105"/>
        </w:rPr>
        <w:t>orders,</w:t>
      </w:r>
      <w:r>
        <w:rPr>
          <w:spacing w:val="-3"/>
          <w:w w:val="105"/>
        </w:rPr>
        <w:t> </w:t>
      </w:r>
      <w:r>
        <w:rPr>
          <w:w w:val="105"/>
        </w:rPr>
        <w:t>the</w:t>
      </w:r>
      <w:r>
        <w:rPr>
          <w:spacing w:val="-4"/>
          <w:w w:val="105"/>
        </w:rPr>
        <w:t> </w:t>
      </w:r>
      <w:r>
        <w:rPr>
          <w:w w:val="105"/>
        </w:rPr>
        <w:t>tax</w:t>
      </w:r>
      <w:r>
        <w:rPr>
          <w:spacing w:val="-4"/>
          <w:w w:val="105"/>
        </w:rPr>
        <w:t> </w:t>
      </w:r>
      <w:r>
        <w:rPr>
          <w:w w:val="105"/>
        </w:rPr>
        <w:t>effect</w:t>
      </w:r>
      <w:r>
        <w:rPr>
          <w:spacing w:val="-1"/>
          <w:w w:val="105"/>
        </w:rPr>
        <w:t> </w:t>
      </w:r>
      <w:r>
        <w:rPr>
          <w:w w:val="105"/>
        </w:rPr>
        <w:t>shall</w:t>
      </w:r>
      <w:r>
        <w:rPr>
          <w:spacing w:val="-1"/>
          <w:w w:val="105"/>
        </w:rPr>
        <w:t> </w:t>
      </w:r>
      <w:r>
        <w:rPr>
          <w:w w:val="105"/>
        </w:rPr>
        <w:t>be</w:t>
      </w:r>
      <w:r>
        <w:rPr>
          <w:spacing w:val="-4"/>
          <w:w w:val="105"/>
        </w:rPr>
        <w:t> </w:t>
      </w:r>
      <w:r>
        <w:rPr>
          <w:w w:val="105"/>
        </w:rPr>
        <w:t>the</w:t>
      </w:r>
      <w:r>
        <w:rPr>
          <w:spacing w:val="-4"/>
          <w:w w:val="105"/>
        </w:rPr>
        <w:t> </w:t>
      </w:r>
      <w:r>
        <w:rPr>
          <w:w w:val="105"/>
        </w:rPr>
        <w:t>quantum</w:t>
      </w:r>
      <w:r>
        <w:rPr>
          <w:spacing w:val="-4"/>
          <w:w w:val="105"/>
        </w:rPr>
        <w:t> </w:t>
      </w:r>
      <w:r>
        <w:rPr>
          <w:w w:val="105"/>
        </w:rPr>
        <w:t>of</w:t>
      </w:r>
      <w:r>
        <w:rPr>
          <w:spacing w:val="-1"/>
          <w:w w:val="105"/>
        </w:rPr>
        <w:t> </w:t>
      </w:r>
      <w:r>
        <w:rPr>
          <w:w w:val="105"/>
        </w:rPr>
        <w:t>penalty</w:t>
      </w:r>
      <w:r>
        <w:rPr>
          <w:spacing w:val="-6"/>
          <w:w w:val="105"/>
        </w:rPr>
        <w:t> </w:t>
      </w:r>
      <w:r>
        <w:rPr>
          <w:w w:val="105"/>
        </w:rPr>
        <w:t>deleted</w:t>
      </w:r>
      <w:r>
        <w:rPr>
          <w:spacing w:val="-2"/>
          <w:w w:val="105"/>
        </w:rPr>
        <w:t> </w:t>
      </w:r>
      <w:r>
        <w:rPr>
          <w:w w:val="105"/>
        </w:rPr>
        <w:t>or</w:t>
      </w:r>
      <w:r>
        <w:rPr>
          <w:spacing w:val="-1"/>
          <w:w w:val="105"/>
        </w:rPr>
        <w:t> </w:t>
      </w:r>
      <w:r>
        <w:rPr>
          <w:w w:val="105"/>
        </w:rPr>
        <w:t>reduced in the order to be appealed</w:t>
      </w:r>
      <w:r>
        <w:rPr>
          <w:spacing w:val="-12"/>
          <w:w w:val="105"/>
        </w:rPr>
        <w:t> </w:t>
      </w:r>
      <w:r>
        <w:rPr>
          <w:w w:val="105"/>
        </w:rPr>
        <w:t>against:</w:t>
      </w:r>
    </w:p>
    <w:p>
      <w:pPr>
        <w:pStyle w:val="BodyText"/>
        <w:spacing w:line="247" w:lineRule="auto" w:before="119"/>
        <w:ind w:right="222"/>
        <w:jc w:val="both"/>
      </w:pPr>
      <w:r>
        <w:rPr>
          <w:b/>
          <w:w w:val="105"/>
        </w:rPr>
        <w:t>Provided </w:t>
      </w:r>
      <w:r>
        <w:rPr>
          <w:w w:val="105"/>
        </w:rPr>
        <w:t>also that while determining ‘total tax effect’ the tax effect on grounds, which forms part of the common grounds, such as where reopening of the case itself is under challenge, shall not be considered separately:</w:t>
      </w:r>
    </w:p>
    <w:p>
      <w:pPr>
        <w:pStyle w:val="BodyText"/>
        <w:spacing w:line="247" w:lineRule="auto"/>
        <w:ind w:right="225"/>
        <w:jc w:val="both"/>
      </w:pPr>
      <w:r>
        <w:rPr/>
        <w:pict>
          <v:line style="position:absolute;mso-position-horizontal-relative:page;mso-position-vertical-relative:paragraph;z-index:-22720" from="473.759613pt,22.818913pt" to="480.387127pt,22.818913pt" stroked="true" strokeweight=".326479pt" strokecolor="#000000">
            <v:stroke dashstyle="solid"/>
            <w10:wrap type="none"/>
          </v:line>
        </w:pict>
      </w:r>
      <w:r>
        <w:rPr>
          <w:b/>
          <w:w w:val="105"/>
        </w:rPr>
        <w:t>Provided </w:t>
      </w:r>
      <w:r>
        <w:rPr>
          <w:w w:val="105"/>
        </w:rPr>
        <w:t>also that where income is computed under the provisions of section 115JB or section 115JC of the Income-tax Act, 1961, the ‘</w:t>
      </w:r>
      <w:r>
        <w:rPr>
          <w:i/>
          <w:w w:val="105"/>
        </w:rPr>
        <w:t>tax effect’</w:t>
      </w:r>
      <w:r>
        <w:rPr>
          <w:w w:val="105"/>
        </w:rPr>
        <w:t>, shall be computed as per the following formula, namely:</w:t>
      </w:r>
    </w:p>
    <w:p>
      <w:pPr>
        <w:pStyle w:val="BodyText"/>
        <w:ind w:left="1567"/>
      </w:pPr>
      <w:r>
        <w:rPr>
          <w:w w:val="105"/>
        </w:rPr>
        <w:t>(A-B) + (C-D)</w:t>
      </w:r>
    </w:p>
    <w:p>
      <w:pPr>
        <w:pStyle w:val="BodyText"/>
        <w:spacing w:before="120"/>
        <w:ind w:left="1567"/>
      </w:pPr>
      <w:r>
        <w:rPr>
          <w:w w:val="105"/>
        </w:rPr>
        <w:t>Where,</w:t>
      </w:r>
    </w:p>
    <w:p>
      <w:pPr>
        <w:pStyle w:val="BodyText"/>
        <w:spacing w:line="244" w:lineRule="auto" w:before="123"/>
        <w:ind w:left="890" w:firstLine="676"/>
      </w:pPr>
      <w:r>
        <w:rPr>
          <w:w w:val="105"/>
        </w:rPr>
        <w:t>A</w:t>
      </w:r>
      <w:r>
        <w:rPr>
          <w:spacing w:val="-8"/>
          <w:w w:val="105"/>
        </w:rPr>
        <w:t> </w:t>
      </w:r>
      <w:r>
        <w:rPr>
          <w:w w:val="105"/>
        </w:rPr>
        <w:t>=</w:t>
      </w:r>
      <w:r>
        <w:rPr>
          <w:spacing w:val="-9"/>
          <w:w w:val="105"/>
        </w:rPr>
        <w:t> </w:t>
      </w:r>
      <w:r>
        <w:rPr>
          <w:w w:val="105"/>
        </w:rPr>
        <w:t>the</w:t>
      </w:r>
      <w:r>
        <w:rPr>
          <w:spacing w:val="-10"/>
          <w:w w:val="105"/>
        </w:rPr>
        <w:t> </w:t>
      </w:r>
      <w:r>
        <w:rPr>
          <w:w w:val="105"/>
        </w:rPr>
        <w:t>total</w:t>
      </w:r>
      <w:r>
        <w:rPr>
          <w:spacing w:val="-8"/>
          <w:w w:val="105"/>
        </w:rPr>
        <w:t> </w:t>
      </w:r>
      <w:r>
        <w:rPr>
          <w:w w:val="105"/>
        </w:rPr>
        <w:t>amount</w:t>
      </w:r>
      <w:r>
        <w:rPr>
          <w:spacing w:val="-9"/>
          <w:w w:val="105"/>
        </w:rPr>
        <w:t> </w:t>
      </w:r>
      <w:r>
        <w:rPr>
          <w:w w:val="105"/>
        </w:rPr>
        <w:t>of</w:t>
      </w:r>
      <w:r>
        <w:rPr>
          <w:spacing w:val="-10"/>
          <w:w w:val="105"/>
        </w:rPr>
        <w:t> </w:t>
      </w:r>
      <w:r>
        <w:rPr>
          <w:w w:val="105"/>
        </w:rPr>
        <w:t>tax</w:t>
      </w:r>
      <w:r>
        <w:rPr>
          <w:spacing w:val="-8"/>
          <w:w w:val="105"/>
        </w:rPr>
        <w:t> </w:t>
      </w:r>
      <w:r>
        <w:rPr>
          <w:w w:val="105"/>
        </w:rPr>
        <w:t>as</w:t>
      </w:r>
      <w:r>
        <w:rPr>
          <w:spacing w:val="-11"/>
          <w:w w:val="105"/>
        </w:rPr>
        <w:t> </w:t>
      </w:r>
      <w:r>
        <w:rPr>
          <w:w w:val="105"/>
        </w:rPr>
        <w:t>per</w:t>
      </w:r>
      <w:r>
        <w:rPr>
          <w:spacing w:val="-7"/>
          <w:w w:val="105"/>
        </w:rPr>
        <w:t> </w:t>
      </w:r>
      <w:r>
        <w:rPr>
          <w:w w:val="105"/>
        </w:rPr>
        <w:t>the</w:t>
      </w:r>
      <w:r>
        <w:rPr>
          <w:spacing w:val="-7"/>
          <w:w w:val="105"/>
        </w:rPr>
        <w:t> </w:t>
      </w:r>
      <w:r>
        <w:rPr>
          <w:w w:val="105"/>
        </w:rPr>
        <w:t>provisions</w:t>
      </w:r>
      <w:r>
        <w:rPr>
          <w:spacing w:val="-12"/>
          <w:w w:val="105"/>
        </w:rPr>
        <w:t> </w:t>
      </w:r>
      <w:r>
        <w:rPr>
          <w:w w:val="105"/>
        </w:rPr>
        <w:t>other</w:t>
      </w:r>
      <w:r>
        <w:rPr>
          <w:spacing w:val="-6"/>
          <w:w w:val="105"/>
        </w:rPr>
        <w:t> </w:t>
      </w:r>
      <w:r>
        <w:rPr>
          <w:w w:val="105"/>
        </w:rPr>
        <w:t>than</w:t>
      </w:r>
      <w:r>
        <w:rPr>
          <w:spacing w:val="-8"/>
          <w:w w:val="105"/>
        </w:rPr>
        <w:t> </w:t>
      </w:r>
      <w:r>
        <w:rPr>
          <w:w w:val="105"/>
        </w:rPr>
        <w:t>the</w:t>
      </w:r>
      <w:r>
        <w:rPr>
          <w:spacing w:val="-8"/>
          <w:w w:val="105"/>
        </w:rPr>
        <w:t> </w:t>
      </w:r>
      <w:r>
        <w:rPr>
          <w:w w:val="105"/>
        </w:rPr>
        <w:t>provisions</w:t>
      </w:r>
      <w:r>
        <w:rPr>
          <w:spacing w:val="-11"/>
          <w:w w:val="105"/>
        </w:rPr>
        <w:t> </w:t>
      </w:r>
      <w:r>
        <w:rPr>
          <w:w w:val="105"/>
        </w:rPr>
        <w:t>contained</w:t>
      </w:r>
      <w:r>
        <w:rPr>
          <w:spacing w:val="-8"/>
          <w:w w:val="105"/>
        </w:rPr>
        <w:t> </w:t>
      </w:r>
      <w:r>
        <w:rPr>
          <w:w w:val="105"/>
        </w:rPr>
        <w:t>in</w:t>
      </w:r>
      <w:r>
        <w:rPr>
          <w:spacing w:val="-8"/>
          <w:w w:val="105"/>
        </w:rPr>
        <w:t> </w:t>
      </w:r>
      <w:r>
        <w:rPr>
          <w:w w:val="105"/>
        </w:rPr>
        <w:t>section 115JB or section 115JC (herein called regular</w:t>
      </w:r>
      <w:r>
        <w:rPr>
          <w:spacing w:val="-12"/>
          <w:w w:val="105"/>
        </w:rPr>
        <w:t> </w:t>
      </w:r>
      <w:r>
        <w:rPr>
          <w:w w:val="105"/>
        </w:rPr>
        <w:t>provisions);</w:t>
      </w:r>
    </w:p>
    <w:p>
      <w:pPr>
        <w:pStyle w:val="BodyText"/>
        <w:spacing w:line="247" w:lineRule="auto" w:before="119"/>
        <w:ind w:left="1567" w:right="222" w:hanging="1"/>
        <w:jc w:val="both"/>
      </w:pPr>
      <w:r>
        <w:rPr>
          <w:w w:val="105"/>
        </w:rPr>
        <w:t>B</w:t>
      </w:r>
      <w:r>
        <w:rPr>
          <w:spacing w:val="-3"/>
          <w:w w:val="105"/>
        </w:rPr>
        <w:t> </w:t>
      </w:r>
      <w:r>
        <w:rPr>
          <w:w w:val="105"/>
        </w:rPr>
        <w:t>=</w:t>
      </w:r>
      <w:r>
        <w:rPr>
          <w:spacing w:val="-2"/>
          <w:w w:val="105"/>
        </w:rPr>
        <w:t> </w:t>
      </w:r>
      <w:r>
        <w:rPr>
          <w:w w:val="105"/>
        </w:rPr>
        <w:t>the</w:t>
      </w:r>
      <w:r>
        <w:rPr>
          <w:spacing w:val="-4"/>
          <w:w w:val="105"/>
        </w:rPr>
        <w:t> </w:t>
      </w:r>
      <w:r>
        <w:rPr>
          <w:w w:val="105"/>
        </w:rPr>
        <w:t>total</w:t>
      </w:r>
      <w:r>
        <w:rPr>
          <w:spacing w:val="-3"/>
          <w:w w:val="105"/>
        </w:rPr>
        <w:t> </w:t>
      </w:r>
      <w:r>
        <w:rPr>
          <w:w w:val="105"/>
        </w:rPr>
        <w:t>amount of</w:t>
      </w:r>
      <w:r>
        <w:rPr>
          <w:spacing w:val="-2"/>
          <w:w w:val="105"/>
        </w:rPr>
        <w:t> </w:t>
      </w:r>
      <w:r>
        <w:rPr>
          <w:w w:val="105"/>
        </w:rPr>
        <w:t>tax</w:t>
      </w:r>
      <w:r>
        <w:rPr>
          <w:spacing w:val="-3"/>
          <w:w w:val="105"/>
        </w:rPr>
        <w:t> </w:t>
      </w:r>
      <w:r>
        <w:rPr>
          <w:w w:val="105"/>
        </w:rPr>
        <w:t>that</w:t>
      </w:r>
      <w:r>
        <w:rPr>
          <w:spacing w:val="-1"/>
          <w:w w:val="105"/>
        </w:rPr>
        <w:t> </w:t>
      </w:r>
      <w:r>
        <w:rPr>
          <w:w w:val="105"/>
        </w:rPr>
        <w:t>would</w:t>
      </w:r>
      <w:r>
        <w:rPr>
          <w:spacing w:val="-3"/>
          <w:w w:val="105"/>
        </w:rPr>
        <w:t> </w:t>
      </w:r>
      <w:r>
        <w:rPr>
          <w:w w:val="105"/>
        </w:rPr>
        <w:t>have</w:t>
      </w:r>
      <w:r>
        <w:rPr>
          <w:spacing w:val="-4"/>
          <w:w w:val="105"/>
        </w:rPr>
        <w:t> </w:t>
      </w:r>
      <w:r>
        <w:rPr>
          <w:w w:val="105"/>
        </w:rPr>
        <w:t>been</w:t>
      </w:r>
      <w:r>
        <w:rPr>
          <w:spacing w:val="-3"/>
          <w:w w:val="105"/>
        </w:rPr>
        <w:t> </w:t>
      </w:r>
      <w:r>
        <w:rPr>
          <w:w w:val="105"/>
        </w:rPr>
        <w:t>chargeable</w:t>
      </w:r>
      <w:r>
        <w:rPr>
          <w:spacing w:val="-3"/>
          <w:w w:val="105"/>
        </w:rPr>
        <w:t> </w:t>
      </w:r>
      <w:r>
        <w:rPr>
          <w:w w:val="105"/>
        </w:rPr>
        <w:t>had</w:t>
      </w:r>
      <w:r>
        <w:rPr>
          <w:spacing w:val="-3"/>
          <w:w w:val="105"/>
        </w:rPr>
        <w:t> </w:t>
      </w:r>
      <w:r>
        <w:rPr>
          <w:w w:val="105"/>
        </w:rPr>
        <w:t>the</w:t>
      </w:r>
      <w:r>
        <w:rPr>
          <w:spacing w:val="-4"/>
          <w:w w:val="105"/>
        </w:rPr>
        <w:t> </w:t>
      </w:r>
      <w:r>
        <w:rPr>
          <w:w w:val="105"/>
        </w:rPr>
        <w:t>total</w:t>
      </w:r>
      <w:r>
        <w:rPr>
          <w:spacing w:val="-1"/>
          <w:w w:val="105"/>
        </w:rPr>
        <w:t> </w:t>
      </w:r>
      <w:r>
        <w:rPr>
          <w:w w:val="105"/>
        </w:rPr>
        <w:t>income</w:t>
      </w:r>
      <w:r>
        <w:rPr>
          <w:spacing w:val="-1"/>
          <w:w w:val="105"/>
        </w:rPr>
        <w:t> </w:t>
      </w:r>
      <w:r>
        <w:rPr>
          <w:w w:val="105"/>
        </w:rPr>
        <w:t>assessed</w:t>
      </w:r>
      <w:r>
        <w:rPr>
          <w:spacing w:val="1"/>
          <w:w w:val="105"/>
        </w:rPr>
        <w:t> </w:t>
      </w:r>
      <w:r>
        <w:rPr>
          <w:w w:val="105"/>
        </w:rPr>
        <w:t>as per the regular provisions been reduced by the amount of the disputed issues under regular provisions;</w:t>
      </w:r>
    </w:p>
    <w:p>
      <w:pPr>
        <w:pStyle w:val="BodyText"/>
        <w:ind w:left="1567" w:hanging="1"/>
      </w:pPr>
      <w:r>
        <w:rPr>
          <w:w w:val="105"/>
        </w:rPr>
        <w:t>C = the total amount of tax as per the provisions contained in section 115JB or section 115JC;</w:t>
      </w:r>
    </w:p>
    <w:p>
      <w:pPr>
        <w:pStyle w:val="BodyText"/>
        <w:spacing w:line="247" w:lineRule="auto" w:before="120"/>
        <w:ind w:left="1567" w:right="222"/>
        <w:jc w:val="both"/>
      </w:pPr>
      <w:r>
        <w:rPr>
          <w:w w:val="105"/>
        </w:rPr>
        <w:t>D</w:t>
      </w:r>
      <w:r>
        <w:rPr>
          <w:spacing w:val="-4"/>
          <w:w w:val="105"/>
        </w:rPr>
        <w:t> </w:t>
      </w:r>
      <w:r>
        <w:rPr>
          <w:w w:val="105"/>
        </w:rPr>
        <w:t>=</w:t>
      </w:r>
      <w:r>
        <w:rPr>
          <w:spacing w:val="-4"/>
          <w:w w:val="105"/>
        </w:rPr>
        <w:t> </w:t>
      </w:r>
      <w:r>
        <w:rPr>
          <w:w w:val="105"/>
        </w:rPr>
        <w:t>the</w:t>
      </w:r>
      <w:r>
        <w:rPr>
          <w:spacing w:val="-5"/>
          <w:w w:val="105"/>
        </w:rPr>
        <w:t> </w:t>
      </w:r>
      <w:r>
        <w:rPr>
          <w:w w:val="105"/>
        </w:rPr>
        <w:t>total</w:t>
      </w:r>
      <w:r>
        <w:rPr>
          <w:spacing w:val="-2"/>
          <w:w w:val="105"/>
        </w:rPr>
        <w:t> </w:t>
      </w:r>
      <w:r>
        <w:rPr>
          <w:w w:val="105"/>
        </w:rPr>
        <w:t>amount</w:t>
      </w:r>
      <w:r>
        <w:rPr>
          <w:spacing w:val="-3"/>
          <w:w w:val="105"/>
        </w:rPr>
        <w:t> </w:t>
      </w:r>
      <w:r>
        <w:rPr>
          <w:w w:val="105"/>
        </w:rPr>
        <w:t>of</w:t>
      </w:r>
      <w:r>
        <w:rPr>
          <w:spacing w:val="-4"/>
          <w:w w:val="105"/>
        </w:rPr>
        <w:t> </w:t>
      </w:r>
      <w:r>
        <w:rPr>
          <w:w w:val="105"/>
        </w:rPr>
        <w:t>tax</w:t>
      </w:r>
      <w:r>
        <w:rPr>
          <w:spacing w:val="-2"/>
          <w:w w:val="105"/>
        </w:rPr>
        <w:t> </w:t>
      </w:r>
      <w:r>
        <w:rPr>
          <w:w w:val="105"/>
        </w:rPr>
        <w:t>that</w:t>
      </w:r>
      <w:r>
        <w:rPr>
          <w:spacing w:val="-3"/>
          <w:w w:val="105"/>
        </w:rPr>
        <w:t> </w:t>
      </w:r>
      <w:r>
        <w:rPr>
          <w:w w:val="105"/>
        </w:rPr>
        <w:t>would</w:t>
      </w:r>
      <w:r>
        <w:rPr>
          <w:spacing w:val="-2"/>
          <w:w w:val="105"/>
        </w:rPr>
        <w:t> </w:t>
      </w:r>
      <w:r>
        <w:rPr>
          <w:w w:val="105"/>
        </w:rPr>
        <w:t>have</w:t>
      </w:r>
      <w:r>
        <w:rPr>
          <w:spacing w:val="-5"/>
          <w:w w:val="105"/>
        </w:rPr>
        <w:t> </w:t>
      </w:r>
      <w:r>
        <w:rPr>
          <w:w w:val="105"/>
        </w:rPr>
        <w:t>been</w:t>
      </w:r>
      <w:r>
        <w:rPr>
          <w:spacing w:val="-3"/>
          <w:w w:val="105"/>
        </w:rPr>
        <w:t> </w:t>
      </w:r>
      <w:r>
        <w:rPr>
          <w:w w:val="105"/>
        </w:rPr>
        <w:t>chargeable</w:t>
      </w:r>
      <w:r>
        <w:rPr>
          <w:spacing w:val="-3"/>
          <w:w w:val="105"/>
        </w:rPr>
        <w:t> </w:t>
      </w:r>
      <w:r>
        <w:rPr>
          <w:w w:val="105"/>
        </w:rPr>
        <w:t>had</w:t>
      </w:r>
      <w:r>
        <w:rPr>
          <w:spacing w:val="-5"/>
          <w:w w:val="105"/>
        </w:rPr>
        <w:t> </w:t>
      </w:r>
      <w:r>
        <w:rPr>
          <w:w w:val="105"/>
        </w:rPr>
        <w:t>the</w:t>
      </w:r>
      <w:r>
        <w:rPr>
          <w:spacing w:val="-3"/>
          <w:w w:val="105"/>
        </w:rPr>
        <w:t> </w:t>
      </w:r>
      <w:r>
        <w:rPr>
          <w:w w:val="105"/>
        </w:rPr>
        <w:t>total</w:t>
      </w:r>
      <w:r>
        <w:rPr>
          <w:spacing w:val="-3"/>
          <w:w w:val="105"/>
        </w:rPr>
        <w:t> </w:t>
      </w:r>
      <w:r>
        <w:rPr>
          <w:w w:val="105"/>
        </w:rPr>
        <w:t>income</w:t>
      </w:r>
      <w:r>
        <w:rPr>
          <w:spacing w:val="-3"/>
          <w:w w:val="105"/>
        </w:rPr>
        <w:t> </w:t>
      </w:r>
      <w:r>
        <w:rPr>
          <w:w w:val="105"/>
        </w:rPr>
        <w:t>assessed</w:t>
      </w:r>
      <w:r>
        <w:rPr>
          <w:spacing w:val="-1"/>
          <w:w w:val="105"/>
        </w:rPr>
        <w:t> </w:t>
      </w:r>
      <w:r>
        <w:rPr>
          <w:w w:val="105"/>
        </w:rPr>
        <w:t>as per the provisions contained in section 115JB or section 115JC was reduced by the amount of disputed issues under the said</w:t>
      </w:r>
      <w:r>
        <w:rPr>
          <w:spacing w:val="-10"/>
          <w:w w:val="105"/>
        </w:rPr>
        <w:t> </w:t>
      </w:r>
      <w:r>
        <w:rPr>
          <w:w w:val="105"/>
        </w:rPr>
        <w:t>provisions:</w:t>
      </w:r>
    </w:p>
    <w:p>
      <w:pPr>
        <w:pStyle w:val="BodyText"/>
        <w:spacing w:line="247" w:lineRule="auto"/>
        <w:ind w:left="890" w:right="221"/>
        <w:jc w:val="both"/>
      </w:pPr>
      <w:r>
        <w:rPr>
          <w:b/>
          <w:w w:val="105"/>
        </w:rPr>
        <w:t>Provided </w:t>
      </w:r>
      <w:r>
        <w:rPr>
          <w:w w:val="105"/>
        </w:rPr>
        <w:t>also that where the amount of disputed issues is considered both under the provisions contained in section 115JB or section 115JC and under regular provisions, such amount shall not be reduced from total amount of tax while determining the amount under item D.</w:t>
      </w:r>
    </w:p>
    <w:p>
      <w:pPr>
        <w:pStyle w:val="ListParagraph"/>
        <w:numPr>
          <w:ilvl w:val="0"/>
          <w:numId w:val="1"/>
        </w:numPr>
        <w:tabs>
          <w:tab w:pos="891" w:val="left" w:leader="none"/>
        </w:tabs>
        <w:spacing w:line="240" w:lineRule="auto" w:before="117" w:after="0"/>
        <w:ind w:left="213" w:right="0" w:firstLine="0"/>
        <w:jc w:val="both"/>
        <w:rPr>
          <w:sz w:val="20"/>
        </w:rPr>
      </w:pPr>
      <w:r>
        <w:rPr>
          <w:w w:val="105"/>
          <w:sz w:val="20"/>
        </w:rPr>
        <w:t>If</w:t>
      </w:r>
      <w:r>
        <w:rPr>
          <w:spacing w:val="-4"/>
          <w:w w:val="105"/>
          <w:sz w:val="20"/>
        </w:rPr>
        <w:t> </w:t>
      </w:r>
      <w:r>
        <w:rPr>
          <w:w w:val="105"/>
          <w:sz w:val="20"/>
        </w:rPr>
        <w:t>the</w:t>
      </w:r>
      <w:r>
        <w:rPr>
          <w:spacing w:val="-6"/>
          <w:w w:val="105"/>
          <w:sz w:val="20"/>
        </w:rPr>
        <w:t> </w:t>
      </w:r>
      <w:r>
        <w:rPr>
          <w:w w:val="105"/>
          <w:sz w:val="20"/>
        </w:rPr>
        <w:t>space</w:t>
      </w:r>
      <w:r>
        <w:rPr>
          <w:spacing w:val="-7"/>
          <w:w w:val="105"/>
          <w:sz w:val="20"/>
        </w:rPr>
        <w:t> </w:t>
      </w:r>
      <w:r>
        <w:rPr>
          <w:w w:val="105"/>
          <w:sz w:val="20"/>
        </w:rPr>
        <w:t>provided</w:t>
      </w:r>
      <w:r>
        <w:rPr>
          <w:spacing w:val="-7"/>
          <w:w w:val="105"/>
          <w:sz w:val="20"/>
        </w:rPr>
        <w:t> </w:t>
      </w:r>
      <w:r>
        <w:rPr>
          <w:w w:val="105"/>
          <w:sz w:val="20"/>
        </w:rPr>
        <w:t>is</w:t>
      </w:r>
      <w:r>
        <w:rPr>
          <w:spacing w:val="-8"/>
          <w:w w:val="105"/>
          <w:sz w:val="20"/>
        </w:rPr>
        <w:t> </w:t>
      </w:r>
      <w:r>
        <w:rPr>
          <w:w w:val="105"/>
          <w:sz w:val="20"/>
        </w:rPr>
        <w:t>found</w:t>
      </w:r>
      <w:r>
        <w:rPr>
          <w:spacing w:val="-4"/>
          <w:w w:val="105"/>
          <w:sz w:val="20"/>
        </w:rPr>
        <w:t> </w:t>
      </w:r>
      <w:r>
        <w:rPr>
          <w:w w:val="105"/>
          <w:sz w:val="20"/>
        </w:rPr>
        <w:t>insufficient,</w:t>
      </w:r>
      <w:r>
        <w:rPr>
          <w:spacing w:val="-5"/>
          <w:w w:val="105"/>
          <w:sz w:val="20"/>
        </w:rPr>
        <w:t> </w:t>
      </w:r>
      <w:r>
        <w:rPr>
          <w:w w:val="105"/>
          <w:sz w:val="20"/>
        </w:rPr>
        <w:t>separate</w:t>
      </w:r>
      <w:r>
        <w:rPr>
          <w:spacing w:val="-4"/>
          <w:w w:val="105"/>
          <w:sz w:val="20"/>
        </w:rPr>
        <w:t> </w:t>
      </w:r>
      <w:r>
        <w:rPr>
          <w:w w:val="105"/>
          <w:sz w:val="20"/>
        </w:rPr>
        <w:t>enclosures</w:t>
      </w:r>
      <w:r>
        <w:rPr>
          <w:spacing w:val="-5"/>
          <w:w w:val="105"/>
          <w:sz w:val="20"/>
        </w:rPr>
        <w:t> </w:t>
      </w:r>
      <w:r>
        <w:rPr>
          <w:w w:val="105"/>
          <w:sz w:val="20"/>
        </w:rPr>
        <w:t>may</w:t>
      </w:r>
      <w:r>
        <w:rPr>
          <w:spacing w:val="-5"/>
          <w:w w:val="105"/>
          <w:sz w:val="20"/>
        </w:rPr>
        <w:t> </w:t>
      </w:r>
      <w:r>
        <w:rPr>
          <w:w w:val="105"/>
          <w:sz w:val="20"/>
        </w:rPr>
        <w:t>be</w:t>
      </w:r>
      <w:r>
        <w:rPr>
          <w:spacing w:val="-7"/>
          <w:w w:val="105"/>
          <w:sz w:val="20"/>
        </w:rPr>
        <w:t> </w:t>
      </w:r>
      <w:r>
        <w:rPr>
          <w:w w:val="105"/>
          <w:sz w:val="20"/>
        </w:rPr>
        <w:t>used</w:t>
      </w:r>
      <w:r>
        <w:rPr>
          <w:spacing w:val="-4"/>
          <w:w w:val="105"/>
          <w:sz w:val="20"/>
        </w:rPr>
        <w:t> </w:t>
      </w:r>
      <w:r>
        <w:rPr>
          <w:w w:val="105"/>
          <w:sz w:val="20"/>
        </w:rPr>
        <w:t>for</w:t>
      </w:r>
      <w:r>
        <w:rPr>
          <w:spacing w:val="-3"/>
          <w:w w:val="105"/>
          <w:sz w:val="20"/>
        </w:rPr>
        <w:t> </w:t>
      </w:r>
      <w:r>
        <w:rPr>
          <w:w w:val="105"/>
          <w:sz w:val="20"/>
        </w:rPr>
        <w:t>the</w:t>
      </w:r>
      <w:r>
        <w:rPr>
          <w:spacing w:val="-4"/>
          <w:w w:val="105"/>
          <w:sz w:val="20"/>
        </w:rPr>
        <w:t> </w:t>
      </w:r>
      <w:r>
        <w:rPr>
          <w:w w:val="105"/>
          <w:sz w:val="20"/>
        </w:rPr>
        <w:t>purpose.;</w:t>
      </w:r>
    </w:p>
    <w:sectPr>
      <w:pgSz w:w="12240" w:h="15840"/>
      <w:pgMar w:top="114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2"/>
      <w:numFmt w:val="upperLetter"/>
      <w:lvlText w:val="(%1)"/>
      <w:lvlJc w:val="left"/>
      <w:pPr>
        <w:ind w:left="213" w:hanging="334"/>
        <w:jc w:val="left"/>
      </w:pPr>
      <w:rPr>
        <w:rFonts w:hint="default" w:ascii="Times New Roman" w:hAnsi="Times New Roman" w:eastAsia="Times New Roman" w:cs="Times New Roman"/>
        <w:spacing w:val="-2"/>
        <w:w w:val="103"/>
        <w:sz w:val="20"/>
        <w:szCs w:val="20"/>
      </w:rPr>
    </w:lvl>
    <w:lvl w:ilvl="1">
      <w:start w:val="0"/>
      <w:numFmt w:val="bullet"/>
      <w:lvlText w:val="•"/>
      <w:lvlJc w:val="left"/>
      <w:pPr>
        <w:ind w:left="1158" w:hanging="334"/>
      </w:pPr>
      <w:rPr>
        <w:rFonts w:hint="default"/>
      </w:rPr>
    </w:lvl>
    <w:lvl w:ilvl="2">
      <w:start w:val="0"/>
      <w:numFmt w:val="bullet"/>
      <w:lvlText w:val="•"/>
      <w:lvlJc w:val="left"/>
      <w:pPr>
        <w:ind w:left="2096" w:hanging="334"/>
      </w:pPr>
      <w:rPr>
        <w:rFonts w:hint="default"/>
      </w:rPr>
    </w:lvl>
    <w:lvl w:ilvl="3">
      <w:start w:val="0"/>
      <w:numFmt w:val="bullet"/>
      <w:lvlText w:val="•"/>
      <w:lvlJc w:val="left"/>
      <w:pPr>
        <w:ind w:left="3034" w:hanging="334"/>
      </w:pPr>
      <w:rPr>
        <w:rFonts w:hint="default"/>
      </w:rPr>
    </w:lvl>
    <w:lvl w:ilvl="4">
      <w:start w:val="0"/>
      <w:numFmt w:val="bullet"/>
      <w:lvlText w:val="•"/>
      <w:lvlJc w:val="left"/>
      <w:pPr>
        <w:ind w:left="3972" w:hanging="334"/>
      </w:pPr>
      <w:rPr>
        <w:rFonts w:hint="default"/>
      </w:rPr>
    </w:lvl>
    <w:lvl w:ilvl="5">
      <w:start w:val="0"/>
      <w:numFmt w:val="bullet"/>
      <w:lvlText w:val="•"/>
      <w:lvlJc w:val="left"/>
      <w:pPr>
        <w:ind w:left="4910" w:hanging="334"/>
      </w:pPr>
      <w:rPr>
        <w:rFonts w:hint="default"/>
      </w:rPr>
    </w:lvl>
    <w:lvl w:ilvl="6">
      <w:start w:val="0"/>
      <w:numFmt w:val="bullet"/>
      <w:lvlText w:val="•"/>
      <w:lvlJc w:val="left"/>
      <w:pPr>
        <w:ind w:left="5848" w:hanging="334"/>
      </w:pPr>
      <w:rPr>
        <w:rFonts w:hint="default"/>
      </w:rPr>
    </w:lvl>
    <w:lvl w:ilvl="7">
      <w:start w:val="0"/>
      <w:numFmt w:val="bullet"/>
      <w:lvlText w:val="•"/>
      <w:lvlJc w:val="left"/>
      <w:pPr>
        <w:ind w:left="6786" w:hanging="334"/>
      </w:pPr>
      <w:rPr>
        <w:rFonts w:hint="default"/>
      </w:rPr>
    </w:lvl>
    <w:lvl w:ilvl="8">
      <w:start w:val="0"/>
      <w:numFmt w:val="bullet"/>
      <w:lvlText w:val="•"/>
      <w:lvlJc w:val="left"/>
      <w:pPr>
        <w:ind w:left="7724" w:hanging="334"/>
      </w:pPr>
      <w:rPr>
        <w:rFonts w:hint="default"/>
      </w:rPr>
    </w:lvl>
  </w:abstractNum>
  <w:abstractNum w:abstractNumId="0">
    <w:multiLevelType w:val="hybridMultilevel"/>
    <w:lvl w:ilvl="0">
      <w:start w:val="1"/>
      <w:numFmt w:val="decimal"/>
      <w:lvlText w:val="%1."/>
      <w:lvlJc w:val="left"/>
      <w:pPr>
        <w:ind w:left="213" w:hanging="677"/>
        <w:jc w:val="left"/>
      </w:pPr>
      <w:rPr>
        <w:rFonts w:hint="default" w:ascii="Times New Roman" w:hAnsi="Times New Roman" w:eastAsia="Times New Roman" w:cs="Times New Roman"/>
        <w:spacing w:val="-1"/>
        <w:w w:val="103"/>
        <w:sz w:val="20"/>
        <w:szCs w:val="20"/>
      </w:rPr>
    </w:lvl>
    <w:lvl w:ilvl="1">
      <w:start w:val="1"/>
      <w:numFmt w:val="lowerLetter"/>
      <w:lvlText w:val="(%2)"/>
      <w:lvlJc w:val="left"/>
      <w:pPr>
        <w:ind w:left="890" w:hanging="325"/>
        <w:jc w:val="left"/>
      </w:pPr>
      <w:rPr>
        <w:rFonts w:hint="default" w:ascii="Times New Roman" w:hAnsi="Times New Roman" w:eastAsia="Times New Roman" w:cs="Times New Roman"/>
        <w:spacing w:val="-1"/>
        <w:w w:val="103"/>
        <w:sz w:val="20"/>
        <w:szCs w:val="20"/>
      </w:rPr>
    </w:lvl>
    <w:lvl w:ilvl="2">
      <w:start w:val="1"/>
      <w:numFmt w:val="lowerRoman"/>
      <w:lvlText w:val="(%3)"/>
      <w:lvlJc w:val="left"/>
      <w:pPr>
        <w:ind w:left="1454" w:hanging="507"/>
        <w:jc w:val="right"/>
      </w:pPr>
      <w:rPr>
        <w:rFonts w:hint="default" w:ascii="Times New Roman" w:hAnsi="Times New Roman" w:eastAsia="Times New Roman" w:cs="Times New Roman"/>
        <w:spacing w:val="0"/>
        <w:w w:val="103"/>
        <w:sz w:val="20"/>
        <w:szCs w:val="20"/>
      </w:rPr>
    </w:lvl>
    <w:lvl w:ilvl="3">
      <w:start w:val="0"/>
      <w:numFmt w:val="bullet"/>
      <w:lvlText w:val="•"/>
      <w:lvlJc w:val="left"/>
      <w:pPr>
        <w:ind w:left="1560" w:hanging="507"/>
      </w:pPr>
      <w:rPr>
        <w:rFonts w:hint="default"/>
      </w:rPr>
    </w:lvl>
    <w:lvl w:ilvl="4">
      <w:start w:val="0"/>
      <w:numFmt w:val="bullet"/>
      <w:lvlText w:val="•"/>
      <w:lvlJc w:val="left"/>
      <w:pPr>
        <w:ind w:left="2708" w:hanging="507"/>
      </w:pPr>
      <w:rPr>
        <w:rFonts w:hint="default"/>
      </w:rPr>
    </w:lvl>
    <w:lvl w:ilvl="5">
      <w:start w:val="0"/>
      <w:numFmt w:val="bullet"/>
      <w:lvlText w:val="•"/>
      <w:lvlJc w:val="left"/>
      <w:pPr>
        <w:ind w:left="3857" w:hanging="507"/>
      </w:pPr>
      <w:rPr>
        <w:rFonts w:hint="default"/>
      </w:rPr>
    </w:lvl>
    <w:lvl w:ilvl="6">
      <w:start w:val="0"/>
      <w:numFmt w:val="bullet"/>
      <w:lvlText w:val="•"/>
      <w:lvlJc w:val="left"/>
      <w:pPr>
        <w:ind w:left="5005" w:hanging="507"/>
      </w:pPr>
      <w:rPr>
        <w:rFonts w:hint="default"/>
      </w:rPr>
    </w:lvl>
    <w:lvl w:ilvl="7">
      <w:start w:val="0"/>
      <w:numFmt w:val="bullet"/>
      <w:lvlText w:val="•"/>
      <w:lvlJc w:val="left"/>
      <w:pPr>
        <w:ind w:left="6154" w:hanging="507"/>
      </w:pPr>
      <w:rPr>
        <w:rFonts w:hint="default"/>
      </w:rPr>
    </w:lvl>
    <w:lvl w:ilvl="8">
      <w:start w:val="0"/>
      <w:numFmt w:val="bullet"/>
      <w:lvlText w:val="•"/>
      <w:lvlJc w:val="left"/>
      <w:pPr>
        <w:ind w:left="7302" w:hanging="507"/>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spacing w:before="115"/>
      <w:ind w:left="213"/>
    </w:pPr>
    <w:rPr>
      <w:rFonts w:ascii="Times New Roman" w:hAnsi="Times New Roman" w:eastAsia="Times New Roman" w:cs="Times New Roman"/>
      <w:sz w:val="20"/>
      <w:szCs w:val="20"/>
    </w:rPr>
  </w:style>
  <w:style w:styleId="Heading1" w:type="paragraph">
    <w:name w:val="Heading 1"/>
    <w:basedOn w:val="Normal"/>
    <w:uiPriority w:val="1"/>
    <w:qFormat/>
    <w:pPr>
      <w:spacing w:before="53"/>
      <w:ind w:left="2921"/>
      <w:jc w:val="center"/>
      <w:outlineLvl w:val="1"/>
    </w:pPr>
    <w:rPr>
      <w:rFonts w:ascii="Times New Roman" w:hAnsi="Times New Roman" w:eastAsia="Times New Roman" w:cs="Times New Roman"/>
      <w:b/>
      <w:bCs/>
      <w:sz w:val="20"/>
      <w:szCs w:val="20"/>
    </w:rPr>
  </w:style>
  <w:style w:styleId="ListParagraph" w:type="paragraph">
    <w:name w:val="List Paragraph"/>
    <w:basedOn w:val="Normal"/>
    <w:uiPriority w:val="1"/>
    <w:qFormat/>
    <w:pPr>
      <w:spacing w:before="117"/>
      <w:ind w:left="213" w:hanging="451"/>
      <w:jc w:val="both"/>
    </w:pPr>
    <w:rPr>
      <w:rFonts w:ascii="Times New Roman" w:hAnsi="Times New Roman" w:eastAsia="Times New Roman" w:cs="Times New Roman"/>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2018-11-26T05:12:29Z</dcterms:created>
  <dcterms:modified xsi:type="dcterms:W3CDTF">2018-11-26T05:12:29Z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2018-10-24T00:00:00Z</vt:filetime>
  </property>
  <property fmtid="{D5CDD505-2E9C-101B-9397-08002B2CF9AE}" pid="3" name="LastSaved">
    <vt:filetime>2018-11-26T00:00:00Z</vt:filetime>
  </property>
</Properties>
</file>